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Default initialization constructor este considerat orice constructor care poate initializa toti membrii clasei chiar daca nu primeste argumente.</w:t>
      </w:r>
    </w:p>
    <w:p>
      <w:pPr>
        <w:pStyle w:val="Normal"/>
        <w:rPr/>
      </w:pPr>
      <w:r>
        <w:rPr/>
        <w:t>Daca exista un default initialization constructor in clasa, se poate apela cand creezi un obiect fara niciun fel de paranteze sau argumente.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-Putem sa facem un constructor default daca il declaram inainte ca default (cu = default)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drawing>
          <wp:inline distT="0" distB="0" distL="0" distR="0">
            <wp:extent cx="5591175" cy="13906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01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1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1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1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1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1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1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1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1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c401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c401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c401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c401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c401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c401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c401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c401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c401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c401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c401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c401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c401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c401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c401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c401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1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1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c401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55</Words>
  <Characters>321</Characters>
  <CharactersWithSpaces>373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2026-09-18T02:17:00Z</dcterms:created>
  <dc:creator>Arthur Kantor</dc:creator>
  <dc:description/>
  <dc:language>en-US</dc:language>
  <cp:lastModifiedBy>Arthur Kantor</cp:lastModifiedBy>
  <dcterms:modified xsi:type="dcterms:W3CDTF">2026-09-18T02:43:00Z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9ca8f285-0895-433b-bb91-0229296ca2b2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2026-09-18T02:18:28Z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