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GeoSpec Data Flow &amp; New-Area Onboarding Guide</w:t>
      </w:r>
    </w:p>
    <w:p>
      <w:r>
        <w:rPr>
          <w:b/>
        </w:rPr>
        <w:t>Version 1.0 — 2026-08-23 (cayley).</w:t>
      </w:r>
      <w:r>
        <w:t xml:space="preserve"> Reference documentation only: nothing in this</w:t>
      </w:r>
    </w:p>
    <w:p>
      <w:r>
        <w:t>guide authorizes acquisition, staging, PRESTART, publication, or any scientific</w:t>
      </w:r>
    </w:p>
    <w:p>
      <w:r>
        <w:t>claim. Carrier sets and windows are frozen by the governance artifacts they cite;</w:t>
      </w:r>
    </w:p>
    <w:p>
      <w:r>
        <w:t>bringing a real new area online requires the full owner-gated cycle described in</w:t>
      </w:r>
    </w:p>
    <w:p>
      <w:r>
        <w:t>§5. Λ_geo remains INCONCLUSIVE.</w:t>
      </w:r>
    </w:p>
    <w:p>
      <w:pPr>
        <w:pStyle w:val="Heading1"/>
      </w:pPr>
      <w:r>
        <w:t>1. The data the system requires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#</w:t>
            </w:r>
          </w:p>
        </w:tc>
        <w:tc>
          <w:tcPr>
            <w:tcW w:type="dxa" w:w="198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98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987"/>
          </w:tcPr>
          <w:p>
            <w:r>
              <w:rPr>
                <w:b/>
              </w:rPr>
              <w:t>Native format</w:t>
            </w:r>
          </w:p>
        </w:tc>
        <w:tc>
          <w:tcPr>
            <w:tcW w:type="dxa" w:w="1987"/>
          </w:tcPr>
          <w:p>
            <w:r>
              <w:rPr>
                <w:b/>
              </w:rPr>
              <w:t>Cadence</w:t>
            </w:r>
          </w:p>
        </w:tc>
      </w:tr>
      <w:tr>
        <w:tc>
          <w:tcPr>
            <w:tcW w:type="dxa" w:w="1987"/>
          </w:tcPr>
          <w:p>
            <w:r>
              <w:t>R1</w:t>
            </w:r>
          </w:p>
        </w:tc>
        <w:tc>
          <w:tcPr>
            <w:tcW w:type="dxa" w:w="1987"/>
          </w:tcPr>
          <w:p>
            <w:r>
              <w:t>Seismic waveform station-days per carrier</w:t>
            </w:r>
          </w:p>
        </w:tc>
        <w:tc>
          <w:tcPr>
            <w:tcW w:type="dxa" w:w="1987"/>
          </w:tcPr>
          <w:p>
            <w:r>
              <w:t>FDSN web services (SCEDC, NCEDC/IRIS, KOERI/Kandilli, …), channel HHZ</w:t>
            </w:r>
          </w:p>
        </w:tc>
        <w:tc>
          <w:tcPr>
            <w:tcW w:type="dxa" w:w="1987"/>
          </w:tcPr>
          <w:p>
            <w:r>
              <w:t>miniSEED day volumes → merge-trim-split</w:t>
            </w:r>
          </w:p>
        </w:tc>
        <w:tc>
          <w:tcPr>
            <w:tcW w:type="dxa" w:w="1987"/>
          </w:tcPr>
          <w:p>
            <w:r>
              <w:t>daily</w:t>
            </w:r>
          </w:p>
        </w:tc>
      </w:tr>
      <w:tr>
        <w:tc>
          <w:tcPr>
            <w:tcW w:type="dxa" w:w="1987"/>
          </w:tcPr>
          <w:p>
            <w:r>
              <w:t>R2</w:t>
            </w:r>
          </w:p>
        </w:tc>
        <w:tc>
          <w:tcPr>
            <w:tcW w:type="dxa" w:w="1987"/>
          </w:tcPr>
          <w:p>
            <w:r>
              <w:t>Station-pair coherence values ("edges")</w:t>
            </w:r>
          </w:p>
        </w:tc>
        <w:tc>
          <w:tcPr>
            <w:tcW w:type="dxa" w:w="1987"/>
          </w:tcPr>
          <w:p>
            <w:r>
              <w:t>derived from R1 per registered station pair</w:t>
            </w:r>
          </w:p>
        </w:tc>
        <w:tc>
          <w:tcPr>
            <w:tcW w:type="dxa" w:w="1987"/>
          </w:tcPr>
          <w:p>
            <w:r>
              <w:t>JSON edge series `{"A</w:t>
            </w:r>
          </w:p>
        </w:tc>
        <w:tc>
          <w:tcPr>
            <w:tcW w:type="dxa" w:w="1987"/>
          </w:tcPr>
          <w:p>
            <w:r>
              <w:t>B": {"YYYY-MM-DD": r}}`, r in tanh space</w:t>
            </w:r>
          </w:p>
        </w:tc>
      </w:tr>
      <w:tr>
        <w:tc>
          <w:tcPr>
            <w:tcW w:type="dxa" w:w="1987"/>
          </w:tcPr>
          <w:p>
            <w:r>
              <w:t>R3</w:t>
            </w:r>
          </w:p>
        </w:tc>
        <w:tc>
          <w:tcPr>
            <w:tcW w:type="dxa" w:w="1987"/>
          </w:tcPr>
          <w:p>
            <w:r>
              <w:t>Station-day admissibility (selection input)</w:t>
            </w:r>
          </w:p>
        </w:tc>
        <w:tc>
          <w:tcPr>
            <w:tcW w:type="dxa" w:w="1987"/>
          </w:tcPr>
          <w:p>
            <w:r>
              <w:t>derived from R1</w:t>
            </w:r>
          </w:p>
        </w:tc>
        <w:tc>
          <w:tcPr>
            <w:tcW w:type="dxa" w:w="1987"/>
          </w:tcPr>
          <w:p>
            <w:r>
              <w:t xml:space="preserve">day-records </w:t>
            </w:r>
            <w:r>
              <w:rPr>
                <w:rFonts w:ascii="Consolas" w:hAnsi="Consolas"/>
                <w:sz w:val="18"/>
              </w:rPr>
              <w:t>{iso_day: [station ids with ≥1 admissible sample]}</w:t>
            </w:r>
          </w:p>
        </w:tc>
        <w:tc>
          <w:tcPr>
            <w:tcW w:type="dxa" w:w="1987"/>
          </w:tcPr>
          <w:p>
            <w:r>
              <w:t xml:space="preserve">daily; selection needs exactly </w:t>
            </w:r>
            <w:r>
              <w:rPr>
                <w:rFonts w:ascii="Consolas" w:hAnsi="Consolas"/>
                <w:sz w:val="18"/>
              </w:rPr>
              <w:t>[cutoff−89, cutoff]</w:t>
            </w:r>
          </w:p>
        </w:tc>
      </w:tr>
      <w:tr>
        <w:tc>
          <w:tcPr>
            <w:tcW w:type="dxa" w:w="1987"/>
          </w:tcPr>
          <w:p>
            <w:r>
              <w:t>R4</w:t>
            </w:r>
          </w:p>
        </w:tc>
        <w:tc>
          <w:tcPr>
            <w:tcW w:type="dxa" w:w="1987"/>
          </w:tcPr>
          <w:p>
            <w:r>
              <w:t>Magnetometer minute streams</w:t>
            </w:r>
          </w:p>
        </w:tc>
        <w:tc>
          <w:tcPr>
            <w:tcW w:type="dxa" w:w="1987"/>
          </w:tcPr>
          <w:p>
            <w:r>
              <w:t>INTERMAGNET GIN (IZN/Iznik), USGS geomagnetism (FRN/Fresno, TUC/Tucson)</w:t>
            </w:r>
          </w:p>
        </w:tc>
        <w:tc>
          <w:tcPr>
            <w:tcW w:type="dxa" w:w="1987"/>
          </w:tcPr>
          <w:p>
            <w:r>
              <w:t>IAGA-2002-style minute text, 1440 samples/day, HDZS or XYZF frames</w:t>
            </w:r>
          </w:p>
        </w:tc>
        <w:tc>
          <w:tcPr>
            <w:tcW w:type="dxa" w:w="1987"/>
          </w:tcPr>
          <w:p>
            <w:r>
              <w:t>1-minute native → daily features</w:t>
            </w:r>
          </w:p>
        </w:tc>
      </w:tr>
      <w:tr>
        <w:tc>
          <w:tcPr>
            <w:tcW w:type="dxa" w:w="1987"/>
          </w:tcPr>
          <w:p>
            <w:r>
              <w:t>R5</w:t>
            </w:r>
          </w:p>
        </w:tc>
        <w:tc>
          <w:tcPr>
            <w:tcW w:type="dxa" w:w="1987"/>
          </w:tcPr>
          <w:p>
            <w:r>
              <w:t>Space-weather drivers</w:t>
            </w:r>
          </w:p>
        </w:tc>
        <w:tc>
          <w:tcPr>
            <w:tcW w:type="dxa" w:w="1987"/>
          </w:tcPr>
          <w:p>
            <w:r>
              <w:t>SYM-H / Kp / OMNI services</w:t>
            </w:r>
          </w:p>
        </w:tc>
        <w:tc>
          <w:tcPr>
            <w:tcW w:type="dxa" w:w="1987"/>
          </w:tcPr>
          <w:p>
            <w:r>
              <w:t>numeric time series, canonical-UTC stamps</w:t>
            </w:r>
          </w:p>
        </w:tc>
        <w:tc>
          <w:tcPr>
            <w:tcW w:type="dxa" w:w="1987"/>
          </w:tcPr>
          <w:p>
            <w:r>
              <w:t>hourly/daily; calibration span 2026-01-01 → cutoff</w:t>
            </w:r>
          </w:p>
        </w:tc>
      </w:tr>
      <w:tr>
        <w:tc>
          <w:tcPr>
            <w:tcW w:type="dxa" w:w="1987"/>
          </w:tcPr>
          <w:p>
            <w:r>
              <w:t>R6</w:t>
            </w:r>
          </w:p>
        </w:tc>
        <w:tc>
          <w:tcPr>
            <w:tcW w:type="dxa" w:w="1987"/>
          </w:tcPr>
          <w:p>
            <w:r>
              <w:t>Earthquake catalog (scoring, forecast lanes)</w:t>
            </w:r>
          </w:p>
        </w:tc>
        <w:tc>
          <w:tcPr>
            <w:tcW w:type="dxa" w:w="1987"/>
          </w:tcPr>
          <w:p>
            <w:r>
              <w:t>USGS/regional catalogs</w:t>
            </w:r>
          </w:p>
        </w:tc>
        <w:tc>
          <w:tcPr>
            <w:tcW w:type="dxa" w:w="1987"/>
          </w:tcPr>
          <w:p>
            <w:r>
              <w:t>event records (origin time, lat, lon, mag, depth)</w:t>
            </w:r>
          </w:p>
        </w:tc>
        <w:tc>
          <w:tcPr>
            <w:tcW w:type="dxa" w:w="1987"/>
          </w:tcPr>
          <w:p>
            <w:r>
              <w:t>on query at maturity</w:t>
            </w:r>
          </w:p>
        </w:tc>
      </w:tr>
      <w:tr>
        <w:tc>
          <w:tcPr>
            <w:tcW w:type="dxa" w:w="1987"/>
          </w:tcPr>
          <w:p>
            <w:r>
              <w:t>R7</w:t>
            </w:r>
          </w:p>
        </w:tc>
        <w:tc>
          <w:tcPr>
            <w:tcW w:type="dxa" w:w="1987"/>
          </w:tcPr>
          <w:p>
            <w:r>
              <w:t>Precipitation (daily-monitor R5 lane only)</w:t>
            </w:r>
          </w:p>
        </w:tc>
        <w:tc>
          <w:tcPr>
            <w:tcW w:type="dxa" w:w="1987"/>
          </w:tcPr>
          <w:p>
            <w:r>
              <w:t>precip services</w:t>
            </w:r>
          </w:p>
        </w:tc>
        <w:tc>
          <w:tcPr>
            <w:tcW w:type="dxa" w:w="1987"/>
          </w:tcPr>
          <w:p>
            <w:r>
              <w:t>daily series per region</w:t>
            </w:r>
          </w:p>
        </w:tc>
        <w:tc>
          <w:tcPr>
            <w:tcW w:type="dxa" w:w="1987"/>
          </w:tcPr>
          <w:p>
            <w:r>
              <w:t>daily</w:t>
            </w:r>
          </w:p>
        </w:tc>
      </w:tr>
    </w:tbl>
    <w:p/>
    <w:p>
      <w:r>
        <w:t>Governance requirements that ride every data class:</w:t>
      </w:r>
    </w:p>
    <w:p>
      <w:pPr>
        <w:pStyle w:val="ListBullet"/>
      </w:pPr>
      <w:r>
        <w:rPr>
          <w:b/>
        </w:rPr>
        <w:t>R8 — Canonical UTC.</w:t>
      </w:r>
      <w:r>
        <w:t xml:space="preserve"> One registered timestamp grammar: canonical UTC minute</w:t>
      </w:r>
    </w:p>
    <w:p>
      <w:r>
        <w:t xml:space="preserve">strings ending </w:t>
      </w:r>
      <w:r>
        <w:rPr>
          <w:rFonts w:ascii="Consolas" w:hAnsi="Consolas"/>
          <w:sz w:val="18"/>
        </w:rPr>
        <w:t>Z</w:t>
      </w:r>
      <w:r>
        <w:t>. Timezone-aware parsing; any non-UTC offset refuses (the</w:t>
      </w:r>
    </w:p>
    <w:p>
      <w:r>
        <w:rPr>
          <w:rFonts w:ascii="Consolas" w:hAnsi="Consolas"/>
          <w:sz w:val="18"/>
        </w:rPr>
        <w:t>+14:00</w:t>
      </w:r>
      <w:r>
        <w:t xml:space="preserve"> wrong-UTC-day trap). Ordering/uniqueness run on normalized instants.</w:t>
      </w:r>
    </w:p>
    <w:p>
      <w:pPr>
        <w:pStyle w:val="ListBullet"/>
      </w:pPr>
      <w:r>
        <w:rPr>
          <w:b/>
        </w:rPr>
        <w:t>R9 — Closed schemas.</w:t>
      </w:r>
      <w:r>
        <w:t xml:space="preserve"> Every layout is a closed field set; unknown fields</w:t>
      </w:r>
    </w:p>
    <w:p>
      <w:r>
        <w:t xml:space="preserve">refuse. There are deliberately </w:t>
      </w:r>
      <w:r>
        <w:rPr>
          <w:b/>
        </w:rPr>
        <w:t>no spare columns for future expansion</w:t>
      </w:r>
      <w:r>
        <w:t xml:space="preserve"> —</w:t>
      </w:r>
    </w:p>
    <w:p>
      <w:r>
        <w:t>extension happens only by versioned, registered schema amendment</w:t>
      </w:r>
    </w:p>
    <w:p>
      <w:r>
        <w:t>(manifest v1 → v1.1 → v1.2; geometry capsule v1 → v2).</w:t>
      </w:r>
    </w:p>
    <w:p>
      <w:pPr>
        <w:pStyle w:val="ListBullet"/>
      </w:pPr>
      <w:r>
        <w:rPr>
          <w:b/>
        </w:rPr>
        <w:t>R10 — Content addressing.</w:t>
      </w:r>
      <w:r>
        <w:t xml:space="preserve"> Raw bytes are SHA-256-digested before any</w:t>
      </w:r>
    </w:p>
    <w:p>
      <w:r>
        <w:t xml:space="preserve">transformation; every derived artifact carries a receipt whose </w:t>
      </w:r>
      <w:r>
        <w:rPr>
          <w:rFonts w:ascii="Consolas" w:hAnsi="Consolas"/>
          <w:sz w:val="18"/>
        </w:rPr>
        <w:t>output_sha256</w:t>
      </w:r>
    </w:p>
    <w:p>
      <w:r>
        <w:t>digests exactly the returned artifact; consumers reopen bytes from git objects,</w:t>
      </w:r>
    </w:p>
    <w:p>
      <w:r>
        <w:t>never trusting disk.</w:t>
      </w:r>
    </w:p>
    <w:p>
      <w:pPr>
        <w:pStyle w:val="ListBullet"/>
      </w:pPr>
      <w:r>
        <w:rPr>
          <w:b/>
        </w:rPr>
        <w:t>R11 — Registered absence.</w:t>
      </w:r>
      <w:r>
        <w:t xml:space="preserve"> A missing value is </w:t>
      </w:r>
      <w:r>
        <w:rPr>
          <w:rFonts w:ascii="Consolas" w:hAnsi="Consolas"/>
          <w:sz w:val="18"/>
        </w:rPr>
        <w:t>None</w:t>
      </w:r>
      <w:r>
        <w:t>/absent at a fixed</w:t>
      </w:r>
    </w:p>
    <w:p>
      <w:r>
        <w:t>calendar position — never a deleted position, never NaN (non-finite refuses</w:t>
      </w:r>
    </w:p>
    <w:p>
      <w:r>
        <w:t>structurally at the boundary).</w:t>
      </w:r>
    </w:p>
    <w:p>
      <w:pPr>
        <w:pStyle w:val="ListBullet"/>
      </w:pPr>
      <w:r>
        <w:rPr>
          <w:b/>
        </w:rPr>
        <w:t>R12 — Claim ceiling.</w:t>
      </w:r>
      <w:r>
        <w:t xml:space="preserve"> Acquisition correctness before the staged bytes is</w:t>
      </w:r>
    </w:p>
    <w:p>
      <w:r>
        <w:t>receipt-attested, not source-code-attested; no artifact asserts more than its</w:t>
      </w:r>
    </w:p>
    <w:p>
      <w:r>
        <w:t>verification surface covers.</w:t>
      </w:r>
    </w:p>
    <w:p>
      <w:pPr>
        <w:pStyle w:val="Heading1"/>
      </w:pPr>
      <w:r>
        <w:t>2. The trust boundary</w:t>
      </w:r>
    </w:p>
    <w:p>
      <w:r>
        <w:t xml:space="preserve">The single registered ingestion point is the </w:t>
      </w:r>
      <w:r>
        <w:rPr>
          <w:b/>
        </w:rPr>
        <w:t>staged-input envelope</w:t>
      </w:r>
    </w:p>
    <w:p>
      <w:r>
        <w:t xml:space="preserve">(manifest schema v1.2, </w:t>
      </w:r>
      <w:r>
        <w:rPr>
          <w:rFonts w:ascii="Consolas" w:hAnsi="Consolas"/>
          <w:sz w:val="18"/>
        </w:rPr>
        <w:t>producer_boundary</w:t>
      </w:r>
      <w:r>
        <w:t xml:space="preserve"> slot, </w:t>
      </w:r>
      <w:r>
        <w:rPr>
          <w:rFonts w:ascii="Consolas" w:hAnsi="Consolas"/>
          <w:sz w:val="18"/>
        </w:rPr>
        <w:t>boundary_mode="staged_envelope"</w:t>
      </w:r>
      <w:r>
        <w:t>).</w:t>
      </w:r>
    </w:p>
    <w:p>
      <w:r>
        <w:t>An envelope is one closed record per lane per UTC day binding:</w:t>
      </w:r>
    </w:p>
    <w:p>
      <w:pPr>
        <w:ind w:left="432"/>
      </w:pPr>
      <w:r>
        <w:rPr>
          <w:rFonts w:ascii="Consolas" w:hAnsi="Consolas"/>
          <w:sz w:val="17"/>
        </w:rPr>
        <w:t>f2g-w2-staged-envelope-v1:</w:t>
        <w:br/>
        <w:t xml:space="preserve">  schema, lane, carrier, utc_day, raw_body_sha256, raw_body_bytes,</w:t>
        <w:br/>
        <w:t xml:space="preserve">  source, endpoint, request_params, receipt, capture_time_utc,</w:t>
        <w:br/>
        <w:t xml:space="preserve">  cutoff, operation_params, expected_keys, output_sha256</w:t>
      </w:r>
    </w:p>
    <w:p>
      <w:r>
        <w:t>Refusals at this boundary: missing/extra day vs the expected day set; cross-day or</w:t>
      </w:r>
    </w:p>
    <w:p>
      <w:r>
        <w:t>cross-carrier replay; wrong source/request/body digest; non-UTC capture time;</w:t>
      </w:r>
    </w:p>
    <w:p>
      <w:r>
        <w:t>non-finite value; any schema extension; any envelope not admitted by the</w:t>
      </w:r>
    </w:p>
    <w:p>
      <w:r>
        <w:t>registered mode.</w:t>
      </w:r>
    </w:p>
    <w:p>
      <w:pPr>
        <w:pStyle w:val="Heading1"/>
      </w:pPr>
      <w:r>
        <w:t>3. Data movement, start to end</w:t>
      </w:r>
    </w:p>
    <w:p>
      <w:r>
        <w:t>Each step names its artifact and the refusal gate that protects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48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Artifact produced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484"/>
          </w:tcPr>
          <w:p>
            <w:r>
              <w:t>S0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Registration/freeze</w:t>
            </w:r>
            <w:r>
              <w:t xml:space="preserve"> — carrier registry, station caps (istanbul_marmara 16 / socal_coachella 20 / turkey_kahramanmaras 14 / cascadia 16), bbox + metric CRS, effect grids, design pins</w:t>
            </w:r>
          </w:p>
        </w:tc>
        <w:tc>
          <w:tcPr>
            <w:tcW w:type="dxa" w:w="2484"/>
          </w:tcPr>
          <w:p>
            <w:r>
              <w:t>freeze capsules + byte-pin manifest</w:t>
            </w:r>
          </w:p>
        </w:tc>
        <w:tc>
          <w:tcPr>
            <w:tcW w:type="dxa" w:w="2484"/>
          </w:tcPr>
          <w:p>
            <w:r>
              <w:t>design-pin verifier walk (27 pins)</w:t>
            </w:r>
          </w:p>
        </w:tc>
      </w:tr>
      <w:tr>
        <w:tc>
          <w:tcPr>
            <w:tcW w:type="dxa" w:w="2484"/>
          </w:tcPr>
          <w:p>
            <w:r>
              <w:t>S1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Acquisition</w:t>
            </w:r>
            <w:r>
              <w:t xml:space="preserve"> — fetch raw bytes (FDSN waveforms, MAG minute files, space-weather series, catalog)</w:t>
            </w:r>
          </w:p>
        </w:tc>
        <w:tc>
          <w:tcPr>
            <w:tcW w:type="dxa" w:w="2484"/>
          </w:tcPr>
          <w:p>
            <w:r>
              <w:t>raw bodies</w:t>
            </w:r>
          </w:p>
        </w:tc>
        <w:tc>
          <w:tcPr>
            <w:tcW w:type="dxa" w:w="2484"/>
          </w:tcPr>
          <w:p>
            <w:r>
              <w:t>receipt-attested only (R12)</w:t>
            </w:r>
          </w:p>
        </w:tc>
      </w:tr>
      <w:tr>
        <w:tc>
          <w:tcPr>
            <w:tcW w:type="dxa" w:w="2484"/>
          </w:tcPr>
          <w:p>
            <w:r>
              <w:t>S2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Staging</w:t>
            </w:r>
            <w:r>
              <w:t xml:space="preserve"> — digest raw bytes into closed envelopes</w:t>
            </w:r>
          </w:p>
        </w:tc>
        <w:tc>
          <w:tcPr>
            <w:tcW w:type="dxa" w:w="2484"/>
          </w:tcPr>
          <w:p>
            <w:r>
              <w:t>staged-input envelopes + receipts</w:t>
            </w:r>
          </w:p>
        </w:tc>
        <w:tc>
          <w:tcPr>
            <w:tcW w:type="dxa" w:w="2484"/>
          </w:tcPr>
          <w:p>
            <w:r>
              <w:t>envelope schema refusals (§2)</w:t>
            </w:r>
          </w:p>
        </w:tc>
      </w:tr>
      <w:tr>
        <w:tc>
          <w:tcPr>
            <w:tcW w:type="dxa" w:w="2484"/>
          </w:tcPr>
          <w:p>
            <w:r>
              <w:t>S3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Producer transforms</w:t>
            </w:r>
            <w:r>
              <w:t xml:space="preserve"> — merge-trim-split waveforms; day-record reduction; MAG component-map to geographic XYZ + SOS filter chain + day features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sz w:val="18"/>
              </w:rPr>
              <w:t>(artifact, receipt)</w:t>
            </w:r>
            <w:r>
              <w:t xml:space="preserve"> pairs, </w:t>
            </w:r>
            <w:r>
              <w:rPr>
                <w:rFonts w:ascii="Consolas" w:hAnsi="Consolas"/>
                <w:sz w:val="18"/>
              </w:rPr>
              <w:t>output_sha256</w:t>
            </w:r>
            <w:r>
              <w:t xml:space="preserve"> exact</w:t>
            </w:r>
          </w:p>
        </w:tc>
        <w:tc>
          <w:tcPr>
            <w:tcW w:type="dxa" w:w="2484"/>
          </w:tcPr>
          <w:p>
            <w:r>
              <w:t>one-field mutation doctors; non-finite refusal</w:t>
            </w:r>
          </w:p>
        </w:tc>
      </w:tr>
      <w:tr>
        <w:tc>
          <w:tcPr>
            <w:tcW w:type="dxa" w:w="2484"/>
          </w:tcPr>
          <w:p>
            <w:r>
              <w:t>S4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Selection</w:t>
            </w:r>
            <w:r>
              <w:t xml:space="preserve"> — 90-day frame </w:t>
            </w:r>
            <w:r>
              <w:rPr>
                <w:rFonts w:ascii="Consolas" w:hAnsi="Consolas"/>
                <w:sz w:val="18"/>
              </w:rPr>
              <w:t>[cutoff−89, cutoff]</w:t>
            </w:r>
            <w:r>
              <w:t>, frozen cap, presence derived (never trusted)</w:t>
            </w:r>
          </w:p>
        </w:tc>
        <w:tc>
          <w:tcPr>
            <w:tcW w:type="dxa" w:w="2484"/>
          </w:tcPr>
          <w:p>
            <w:r>
              <w:t>selected station registry per carrier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sz w:val="18"/>
              </w:rPr>
              <w:t>SelectionInputInvalid</w:t>
            </w:r>
            <w:r>
              <w:t xml:space="preserve"> frame/cap refusals</w:t>
            </w:r>
          </w:p>
        </w:tc>
      </w:tr>
      <w:tr>
        <w:tc>
          <w:tcPr>
            <w:tcW w:type="dxa" w:w="2484"/>
          </w:tcPr>
          <w:p>
            <w:r>
              <w:t>S5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Panel assembly</w:t>
            </w:r>
            <w:r>
              <w:t xml:space="preserve"> — edges over the fixed 192-position calendar-v2 grid (baseline 60 = 2026-06-27→08-25; eval 132 = 2026-08-27→2027-01-05; 08-26 excluded); availability is a separate mask</w:t>
            </w:r>
          </w:p>
        </w:tc>
        <w:tc>
          <w:tcPr>
            <w:tcW w:type="dxa" w:w="2484"/>
          </w:tcPr>
          <w:p>
            <w:r>
              <w:t>engine panels + views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sz w:val="18"/>
              </w:rPr>
              <w:t>CALENDAR_MASK_COMPRESSION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CALENDAR_EXCLUDED_DAY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CALENDAR_AUTHORITY_MISMATCH</w:t>
            </w:r>
          </w:p>
        </w:tc>
      </w:tr>
      <w:tr>
        <w:tc>
          <w:tcPr>
            <w:tcW w:type="dxa" w:w="2484"/>
          </w:tcPr>
          <w:p>
            <w:r>
              <w:t>S6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Engines</w:t>
            </w:r>
            <w:r>
              <w:t xml:space="preserve"> — B2A runs / B2B churn / B1B burst / B3A, Holm at α=0.05 over the four; MAG lane M1/M2/M3; MF4 predictions</w:t>
            </w:r>
          </w:p>
        </w:tc>
        <w:tc>
          <w:tcPr>
            <w:tcW w:type="dxa" w:w="2484"/>
          </w:tcPr>
          <w:p>
            <w:r>
              <w:t>family p-values + typed refusals</w:t>
            </w:r>
          </w:p>
        </w:tc>
        <w:tc>
          <w:tcPr>
            <w:tcW w:type="dxa" w:w="2484"/>
          </w:tcPr>
          <w:p>
            <w:r>
              <w:t xml:space="preserve">engine </w:t>
            </w:r>
            <w:r>
              <w:rPr>
                <w:rFonts w:ascii="Consolas" w:hAnsi="Consolas"/>
                <w:sz w:val="18"/>
              </w:rPr>
              <w:t>PanelInvalid</w:t>
            </w:r>
            <w:r>
              <w:t xml:space="preserve"> classes; frame records recomputed (</w:t>
            </w:r>
            <w:r>
              <w:rPr>
                <w:rFonts w:ascii="Consolas" w:hAnsi="Consolas"/>
                <w:sz w:val="18"/>
              </w:rPr>
              <w:t>POWER_CALENDAR_FRAME_INVALID</w:t>
            </w:r>
            <w:r>
              <w:t>)</w:t>
            </w:r>
          </w:p>
        </w:tc>
      </w:tr>
      <w:tr>
        <w:tc>
          <w:tcPr>
            <w:tcW w:type="dxa" w:w="2484"/>
          </w:tcPr>
          <w:p>
            <w:r>
              <w:t>S7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Calibration</w:t>
            </w:r>
            <w:r>
              <w:t xml:space="preserve"> — MF4/MAG ledgers produced at the cutoff, temporal boundaries enforced</w:t>
            </w:r>
          </w:p>
        </w:tc>
        <w:tc>
          <w:tcPr>
            <w:tcW w:type="dxa" w:w="2484"/>
          </w:tcPr>
          <w:p>
            <w:r>
              <w:t>calibration ledgers + verified receipts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sz w:val="18"/>
              </w:rPr>
              <w:t>CALIBRATION_TIME_INDEX_INVALID</w:t>
            </w:r>
            <w:r>
              <w:t>; receipt keyset equality</w:t>
            </w:r>
          </w:p>
        </w:tc>
      </w:tr>
      <w:tr>
        <w:tc>
          <w:tcPr>
            <w:tcW w:type="dxa" w:w="2484"/>
          </w:tcPr>
          <w:p>
            <w:r>
              <w:t>S8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Power certification</w:t>
            </w:r>
            <w:r>
              <w:t xml:space="preserve"> — Tier-C at n_draws=9,999, R=20/40 exact-binomial stopping, B1B LOCO fold rule</w:t>
            </w:r>
          </w:p>
        </w:tc>
        <w:tc>
          <w:tcPr>
            <w:tcW w:type="dxa" w:w="2484"/>
          </w:tcPr>
          <w:p>
            <w:r>
              <w:t>certification records binding capsule digest + frame digests</w:t>
            </w:r>
          </w:p>
        </w:tc>
        <w:tc>
          <w:tcPr>
            <w:tcW w:type="dxa" w:w="2484"/>
          </w:tcPr>
          <w:p>
            <w:r>
              <w:t xml:space="preserve">geometry/authority/frame refusals; </w:t>
            </w:r>
            <w:r>
              <w:rPr>
                <w:rFonts w:ascii="Consolas" w:hAnsi="Consolas"/>
                <w:sz w:val="18"/>
              </w:rPr>
              <w:t>POWER_LOCO_FOLD_SET_INVALID</w:t>
            </w:r>
          </w:p>
        </w:tc>
      </w:tr>
      <w:tr>
        <w:tc>
          <w:tcPr>
            <w:tcW w:type="dxa" w:w="2484"/>
          </w:tcPr>
          <w:p>
            <w:r>
              <w:t>S9</w:t>
            </w:r>
          </w:p>
        </w:tc>
        <w:tc>
          <w:tcPr>
            <w:tcW w:type="dxa" w:w="2484"/>
          </w:tcPr>
          <w:p>
            <w:r>
              <w:rPr>
                <w:b/>
              </w:rPr>
              <w:t>Manifest binding</w:t>
            </w:r>
            <w:r>
              <w:t xml:space="preserve"> — 12 closed slots, every pin = path+commit+blob-sha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sz w:val="18"/>
              </w:rPr>
              <w:t>execution_manifest.json</w:t>
            </w:r>
            <w:r>
              <w:t xml:space="preserve"> (CLOSED 12/12)</w:t>
            </w:r>
          </w:p>
        </w:tc>
        <w:tc>
          <w:tcPr>
            <w:tcW w:type="dxa" w:w="2484"/>
          </w:tcPr>
          <w:p>
            <w:r>
              <w:t xml:space="preserve">verifier </w:t>
            </w:r>
            <w:r>
              <w:rPr>
                <w:rFonts w:ascii="Consolas" w:hAnsi="Consolas"/>
                <w:sz w:val="18"/>
              </w:rPr>
              <w:t>--prestart</w:t>
            </w:r>
            <w:r>
              <w:t xml:space="preserve"> zero-OPEN PASS; 19-case KAT</w:t>
            </w:r>
          </w:p>
        </w:tc>
      </w:tr>
      <w:tr>
        <w:tc>
          <w:tcPr>
            <w:tcW w:type="dxa" w:w="2484"/>
          </w:tcPr>
          <w:p>
            <w:r>
              <w:t>S10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Admission + owner seal</w:t>
            </w:r>
            <w:r>
              <w:t xml:space="preserve"> — live verification (verifier PASS + runtime allowlist + owner binding vs exact manifest blob/lanes/lease/window)</w:t>
            </w:r>
          </w:p>
        </w:tc>
        <w:tc>
          <w:tcPr>
            <w:tcW w:type="dxa" w:w="2484"/>
          </w:tcPr>
          <w:p>
            <w:r>
              <w:t>admission capsule; barrier ledger PRESTART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sz w:val="18"/>
              </w:rPr>
              <w:t>PRESTART_ADMISSION_REFUSED</w:t>
            </w:r>
            <w:r>
              <w:t xml:space="preserve">; </w:t>
            </w:r>
            <w:r>
              <w:rPr>
                <w:rFonts w:ascii="Consolas" w:hAnsi="Consolas"/>
                <w:sz w:val="18"/>
              </w:rPr>
              <w:t>RUNTIME_ALLOWLIST_VIOLATION</w:t>
            </w:r>
          </w:p>
        </w:tc>
      </w:tr>
      <w:tr>
        <w:tc>
          <w:tcPr>
            <w:tcW w:type="dxa" w:w="2484"/>
          </w:tcPr>
          <w:p>
            <w:r>
              <w:t>S11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Sealed accrual</w:t>
            </w:r>
            <w:r>
              <w:t xml:space="preserve"> — daily envelope → producer → engines → hash-chained append-only ledger</w:t>
            </w:r>
          </w:p>
        </w:tc>
        <w:tc>
          <w:tcPr>
            <w:tcW w:type="dxa" w:w="2484"/>
          </w:tcPr>
          <w:p>
            <w:r>
              <w:t>ledger events + MF4 prediction rows</w:t>
            </w:r>
          </w:p>
        </w:tc>
        <w:tc>
          <w:tcPr>
            <w:tcW w:type="dxa" w:w="2484"/>
          </w:tcPr>
          <w:p>
            <w:r>
              <w:rPr>
                <w:rFonts w:ascii="Consolas" w:hAnsi="Consolas"/>
                <w:sz w:val="18"/>
              </w:rPr>
              <w:t>LEDGER_CHAIN_BROKEN</w:t>
            </w:r>
            <w:r>
              <w:t xml:space="preserve">; </w:t>
            </w:r>
            <w:r>
              <w:rPr>
                <w:rFonts w:ascii="Consolas" w:hAnsi="Consolas"/>
                <w:sz w:val="18"/>
              </w:rPr>
              <w:t>LATE_OR_REVISED_PREDICTION</w:t>
            </w:r>
          </w:p>
        </w:tc>
      </w:tr>
      <w:tr>
        <w:tc>
          <w:tcPr>
            <w:tcW w:type="dxa" w:w="2484"/>
          </w:tcPr>
          <w:p>
            <w:r>
              <w:t>S12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Scoring &amp; outputs</w:t>
            </w:r>
            <w:r>
              <w:t xml:space="preserve"> — labels at maturity (H_max 7 d tail), dashboard render</w:t>
            </w:r>
          </w:p>
        </w:tc>
        <w:tc>
          <w:tcPr>
            <w:tcW w:type="dxa" w:w="2484"/>
          </w:tcPr>
          <w:p>
            <w:r>
              <w:t xml:space="preserve">scored records; </w:t>
            </w:r>
            <w:r>
              <w:rPr>
                <w:rFonts w:ascii="Consolas" w:hAnsi="Consolas"/>
                <w:sz w:val="18"/>
              </w:rPr>
              <w:t>docs/data.csv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r5_daily.json</w:t>
            </w:r>
            <w:r>
              <w:t>, dashboard pages</w:t>
            </w:r>
          </w:p>
        </w:tc>
        <w:tc>
          <w:tcPr>
            <w:tcW w:type="dxa" w:w="2484"/>
          </w:tcPr>
          <w:p>
            <w:r>
              <w:t>append-only; re-scores only on adjudicated defect</w:t>
            </w:r>
          </w:p>
        </w:tc>
      </w:tr>
    </w:tbl>
    <w:p/>
    <w:p>
      <w:r>
        <w:t xml:space="preserve">Storage at every step is </w:t>
      </w:r>
      <w:r>
        <w:rPr>
          <w:b/>
        </w:rPr>
        <w:t>git</w:t>
      </w:r>
      <w:r>
        <w:t>: committed blobs addressed by</w:t>
      </w:r>
    </w:p>
    <w:p>
      <w:r>
        <w:rPr>
          <w:rFonts w:ascii="Consolas" w:hAnsi="Consolas"/>
          <w:sz w:val="18"/>
        </w:rPr>
        <w:t>git cat-file blob &lt;commit&gt;:&lt;path&gt;</w:t>
      </w:r>
      <w:r>
        <w:t>, with the execution manifest as index.</w:t>
      </w:r>
    </w:p>
    <w:p>
      <w:r>
        <w:t xml:space="preserve">Daily-monitor raw inputs stay in gitignored </w:t>
      </w:r>
      <w:r>
        <w:rPr>
          <w:rFonts w:ascii="Consolas" w:hAnsi="Consolas"/>
          <w:sz w:val="18"/>
        </w:rPr>
        <w:t>monitoring/data/</w:t>
      </w:r>
      <w:r>
        <w:t>; sealed evidence</w:t>
      </w:r>
    </w:p>
    <w:p>
      <w:r>
        <w:t>mirrors to the GCS versioning bucket.</w:t>
      </w:r>
    </w:p>
    <w:p>
      <w:pPr>
        <w:pStyle w:val="Heading1"/>
      </w:pPr>
      <w:r>
        <w:t>4. Reaching the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Tool</w:t>
            </w:r>
          </w:p>
        </w:tc>
      </w:tr>
      <w:tr>
        <w:tc>
          <w:tcPr>
            <w:tcW w:type="dxa" w:w="4968"/>
          </w:tcPr>
          <w:p>
            <w:r>
              <w:t>Raw governed bytes at any pin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git cat-file blob &lt;commit&gt;:&lt;path&gt;</w:t>
            </w:r>
            <w:r>
              <w:t xml:space="preserve"> (manifest = the index)</w:t>
            </w:r>
          </w:p>
        </w:tc>
      </w:tr>
      <w:tr>
        <w:tc>
          <w:tcPr>
            <w:tcW w:type="dxa" w:w="4968"/>
          </w:tcPr>
          <w:p>
            <w:r>
              <w:t>Verified manifest state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python monitoring/src/f2g_execution_manifest_verifier_cayley.py &lt;repo&gt; &lt;commit&gt; [--prestart] [--kat]</w:t>
            </w:r>
          </w:p>
        </w:tc>
      </w:tr>
      <w:tr>
        <w:tc>
          <w:tcPr>
            <w:tcW w:type="dxa" w:w="4968"/>
          </w:tcPr>
          <w:p>
            <w:r>
              <w:t>MAG capsules with sha-verified bodies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w2_mag1.load_execution_capsule(name, manifest_commit)</w:t>
            </w:r>
          </w:p>
        </w:tc>
      </w:tr>
      <w:tr>
        <w:tc>
          <w:tcPr>
            <w:tcW w:type="dxa" w:w="4968"/>
          </w:tcPr>
          <w:p>
            <w:r>
              <w:t>Selection / engines / certification</w:t>
            </w:r>
          </w:p>
        </w:tc>
        <w:tc>
          <w:tcPr>
            <w:tcW w:type="dxa" w:w="4968"/>
          </w:tcPr>
          <w:p>
            <w:r>
              <w:t xml:space="preserve">import </w:t>
            </w:r>
            <w:r>
              <w:rPr>
                <w:rFonts w:ascii="Consolas" w:hAnsi="Consolas"/>
                <w:sz w:val="18"/>
              </w:rPr>
              <w:t>w2_selection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w2_b1b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w2_b2b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w2_power_harness_cayley</w:t>
            </w:r>
          </w:p>
        </w:tc>
      </w:tr>
      <w:tr>
        <w:tc>
          <w:tcPr>
            <w:tcW w:type="dxa" w:w="4968"/>
          </w:tcPr>
          <w:p>
            <w:r>
              <w:t>Calibration receipts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w2_calibration_runner_cayley.verify_receipt(...)</w:t>
            </w:r>
          </w:p>
        </w:tc>
      </w:tr>
      <w:tr>
        <w:tc>
          <w:tcPr>
            <w:tcW w:type="dxa" w:w="4968"/>
          </w:tcPr>
          <w:p>
            <w:r>
              <w:t>Calculated JSON/CSV values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sz w:val="18"/>
              </w:rPr>
              <w:t>jq</w:t>
            </w:r>
            <w:r>
              <w:t>, pandas (</w:t>
            </w:r>
            <w:r>
              <w:rPr>
                <w:rFonts w:ascii="Consolas" w:hAnsi="Consolas"/>
                <w:sz w:val="18"/>
              </w:rPr>
              <w:t>docs/data.csv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docs/r5_daily.json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docs/ensemble_latest.json</w:t>
            </w:r>
            <w:r>
              <w:t>)</w:t>
            </w:r>
          </w:p>
        </w:tc>
      </w:tr>
      <w:tr>
        <w:tc>
          <w:tcPr>
            <w:tcW w:type="dxa" w:w="4968"/>
          </w:tcPr>
          <w:p>
            <w:r>
              <w:t>Human-facing</w:t>
            </w:r>
          </w:p>
        </w:tc>
        <w:tc>
          <w:tcPr>
            <w:tcW w:type="dxa" w:w="4968"/>
          </w:tcPr>
          <w:p>
            <w:r>
              <w:t xml:space="preserve">dashboard pages under </w:t>
            </w:r>
            <w:r>
              <w:rPr>
                <w:rFonts w:ascii="Consolas" w:hAnsi="Consolas"/>
                <w:sz w:val="18"/>
              </w:rPr>
              <w:t>monitoring/dashboard/</w:t>
            </w:r>
            <w:r>
              <w:t xml:space="preserve"> (Pages + </w:t>
            </w:r>
            <w:r>
              <w:rPr>
                <w:rFonts w:ascii="Consolas" w:hAnsi="Consolas"/>
                <w:sz w:val="18"/>
              </w:rPr>
              <w:t>serve.bat</w:t>
            </w:r>
            <w:r>
              <w:t>)</w:t>
            </w:r>
          </w:p>
        </w:tc>
      </w:tr>
    </w:tbl>
    <w:p/>
    <w:p>
      <w:pPr>
        <w:pStyle w:val="Heading1"/>
      </w:pPr>
      <w:r>
        <w:t>5. Worked example — bringing a new area online</w:t>
      </w:r>
    </w:p>
    <w:p>
      <w:r>
        <w:t xml:space="preserve">The factual precedent is </w:t>
      </w:r>
      <w:r>
        <w:rPr>
          <w:b/>
        </w:rPr>
        <w:t>cascadia</w:t>
      </w:r>
      <w:r>
        <w:t>, onboarded for window-2 (bbox lat 45.0–51.0,</w:t>
      </w:r>
    </w:p>
    <w:p>
      <w:r>
        <w:t>lon −128.0…−121.5, cap 16, the NEW-registry LOCO carrier). The steps below follow</w:t>
      </w:r>
    </w:p>
    <w:p>
      <w:r>
        <w:t xml:space="preserve">that path for a hypothetical carrier </w:t>
      </w:r>
      <w:r>
        <w:rPr>
          <w:rFonts w:ascii="Consolas" w:hAnsi="Consolas"/>
          <w:sz w:val="18"/>
        </w:rPr>
        <w:t>hokkaido_hidaka</w:t>
      </w:r>
      <w:r>
        <w:t>. **Illustrative only — a</w:t>
      </w:r>
    </w:p>
    <w:p>
      <w:r>
        <w:t>real onboarding starts with an owner ask and runs the full review loop.**</w:t>
      </w:r>
    </w:p>
    <w:p>
      <w:pPr>
        <w:pStyle w:val="ListNumber"/>
      </w:pPr>
      <w:r>
        <w:rPr>
          <w:b/>
        </w:rPr>
        <w:t>Owner scope decision.</w:t>
      </w:r>
      <w:r>
        <w:t xml:space="preserve"> asylum authorizes the new area as program scope</w:t>
      </w:r>
    </w:p>
    <w:p>
      <w:r>
        <w:t>(region, scientific rationale, window).</w:t>
      </w:r>
    </w:p>
    <w:p>
      <w:pPr>
        <w:pStyle w:val="ListNumber"/>
      </w:pPr>
      <w:r>
        <w:rPr>
          <w:b/>
        </w:rPr>
        <w:t>Region registration.</w:t>
      </w:r>
      <w:r>
        <w:t xml:space="preserve"> Register bbox + metric CRS (e.g. lat 41.8–43.2,</w:t>
      </w:r>
    </w:p>
    <w:p>
      <w:r>
        <w:t>lon 141.5–143.8, EPSG:32654) and the candidate seismic network(s) (e.g.</w:t>
      </w:r>
    </w:p>
    <w:p>
      <w:r>
        <w:t>NIED Hi-net / JMA via FDSN). Commit as a carrier capsule under</w:t>
      </w:r>
    </w:p>
    <w:p>
      <w:r>
        <w:rPr>
          <w:rFonts w:ascii="Consolas" w:hAnsi="Consolas"/>
          <w:sz w:val="18"/>
        </w:rPr>
        <w:t>docs/&lt;window&gt;_freeze/</w:t>
      </w:r>
      <w:r>
        <w:t xml:space="preserve"> — the cascadia template is</w:t>
      </w:r>
    </w:p>
    <w:p>
      <w:r>
        <w:rPr>
          <w:rFonts w:ascii="Consolas" w:hAnsi="Consolas"/>
          <w:sz w:val="18"/>
        </w:rPr>
        <w:t>cascadia_carrier_capsule.md</w:t>
      </w:r>
      <w:r>
        <w:t>.</w:t>
      </w:r>
    </w:p>
    <w:p>
      <w:pPr>
        <w:pStyle w:val="ListNumber"/>
      </w:pPr>
      <w:r>
        <w:rPr>
          <w:b/>
        </w:rPr>
        <w:t>Probe + registry census.</w:t>
      </w:r>
      <w:r>
        <w:t xml:space="preserve"> Fetch a probe day per candidate station through</w:t>
      </w:r>
    </w:p>
    <w:p>
      <w:r>
        <w:t>the staged-envelope discipline; record availability, channel (HHZ), sample</w:t>
      </w:r>
    </w:p>
    <w:p>
      <w:r>
        <w:t>rate, gaps. Output: candidate registry with evidence receipts.</w:t>
      </w:r>
    </w:p>
    <w:p>
      <w:pPr>
        <w:pStyle w:val="ListNumber"/>
      </w:pPr>
      <w:r>
        <w:rPr>
          <w:b/>
        </w:rPr>
        <w:t>Cap + registry freeze.</w:t>
      </w:r>
      <w:r>
        <w:t xml:space="preserve"> Fix the station cap and the frozen registry in the</w:t>
      </w:r>
    </w:p>
    <w:p>
      <w:r>
        <w:t>selection constants; register the effect grids the new carrier participates</w:t>
      </w:r>
    </w:p>
    <w:p>
      <w:r>
        <w:t>in. This is a DESIGN change: it lands in the freeze manifest with new byte</w:t>
      </w:r>
    </w:p>
    <w:p>
      <w:r>
        <w:t>pins, before any evaluation data exists.</w:t>
      </w:r>
    </w:p>
    <w:p>
      <w:pPr>
        <w:pStyle w:val="ListNumber"/>
      </w:pPr>
      <w:r>
        <w:rPr>
          <w:b/>
        </w:rPr>
        <w:t>Producer lane.</w:t>
      </w:r>
      <w:r>
        <w:t xml:space="preserve"> Extend the producer contract with the new carrier's</w:t>
      </w:r>
    </w:p>
    <w:p>
      <w:r>
        <w:t>envelope expectations (</w:t>
      </w:r>
      <w:r>
        <w:rPr>
          <w:rFonts w:ascii="Consolas" w:hAnsi="Consolas"/>
          <w:sz w:val="18"/>
        </w:rPr>
        <w:t>expected_keys</w:t>
      </w:r>
      <w:r>
        <w:t>, endpoints, request params). Every</w:t>
      </w:r>
    </w:p>
    <w:p>
      <w:r>
        <w:t xml:space="preserve">transform must return </w:t>
      </w:r>
      <w:r>
        <w:rPr>
          <w:rFonts w:ascii="Consolas" w:hAnsi="Consolas"/>
          <w:sz w:val="18"/>
        </w:rPr>
        <w:t>(artifact, receipt)</w:t>
      </w:r>
      <w:r>
        <w:t xml:space="preserve"> with exact </w:t>
      </w:r>
      <w:r>
        <w:rPr>
          <w:rFonts w:ascii="Consolas" w:hAnsi="Consolas"/>
          <w:sz w:val="18"/>
        </w:rPr>
        <w:t>output_sha256</w:t>
      </w:r>
      <w:r>
        <w:t>.</w:t>
      </w:r>
    </w:p>
    <w:p>
      <w:pPr>
        <w:pStyle w:val="ListNumber"/>
      </w:pPr>
      <w:r>
        <w:rPr>
          <w:b/>
        </w:rPr>
        <w:t>Calendar binding.</w:t>
      </w:r>
      <w:r>
        <w:t xml:space="preserve"> The new carrier's engine-facing </w:t>
      </w:r>
      <w:r>
        <w:rPr>
          <w:rFonts w:ascii="Consolas" w:hAnsi="Consolas"/>
          <w:sz w:val="18"/>
        </w:rPr>
        <w:t>registered_days</w:t>
      </w:r>
      <w:r>
        <w:t xml:space="preserve"> must</w:t>
      </w:r>
    </w:p>
    <w:p>
      <w:r>
        <w:t>equal the window's fixed authority grid byte-for-byte; its availability mask</w:t>
      </w:r>
    </w:p>
    <w:p>
      <w:r>
        <w:t>is separate. No carrier ever gets its own calendar.</w:t>
      </w:r>
    </w:p>
    <w:p>
      <w:pPr>
        <w:pStyle w:val="ListNumber"/>
      </w:pPr>
      <w:r>
        <w:rPr>
          <w:b/>
        </w:rPr>
        <w:t>Selection dry-run.</w:t>
      </w:r>
      <w:r>
        <w:t xml:space="preserve"> 90 days of day-records at the frozen cap; verify the</w:t>
      </w:r>
    </w:p>
    <w:p>
      <w:r>
        <w:t>greedy order and tie-break against the oracle in the bar.</w:t>
      </w:r>
    </w:p>
    <w:p>
      <w:pPr>
        <w:pStyle w:val="ListNumber"/>
      </w:pPr>
      <w:r>
        <w:rPr>
          <w:b/>
        </w:rPr>
        <w:t>Bar KATs.</w:t>
      </w:r>
      <w:r>
        <w:t xml:space="preserve"> The peer bar-author (grassmann) cross-authors known-answer</w:t>
      </w:r>
    </w:p>
    <w:p>
      <w:r>
        <w:t>tests for every new seam: registry census, envelope doctors, selection</w:t>
      </w:r>
    </w:p>
    <w:p>
      <w:r>
        <w:t>oracle equality, engine geometry refusals.</w:t>
      </w:r>
    </w:p>
    <w:p>
      <w:pPr>
        <w:pStyle w:val="ListNumber"/>
      </w:pPr>
      <w:r>
        <w:rPr>
          <w:b/>
        </w:rPr>
        <w:t>Adversarial review.</w:t>
      </w:r>
      <w:r>
        <w:t xml:space="preserve"> codex reviews the design + implementation pair;</w:t>
      </w:r>
    </w:p>
    <w:p>
      <w:r>
        <w:t>repairs loop until PASS/CLOSED.</w:t>
      </w:r>
    </w:p>
    <w:p>
      <w:pPr>
        <w:pStyle w:val="ListNumber"/>
      </w:pPr>
      <w:r>
        <w:rPr>
          <w:b/>
        </w:rPr>
        <w:t>Manifest slots.</w:t>
      </w:r>
      <w:r>
        <w:t xml:space="preserve"> The new artifacts join their slots; manifest regenerated;</w:t>
      </w:r>
    </w:p>
    <w:p>
      <w:r>
        <w:t>verifier PASS + KAT green.</w:t>
      </w:r>
    </w:p>
    <w:p>
      <w:pPr>
        <w:pStyle w:val="ListNumber"/>
      </w:pPr>
      <w:r>
        <w:rPr>
          <w:b/>
        </w:rPr>
        <w:t>Certification.</w:t>
      </w:r>
      <w:r>
        <w:t xml:space="preserve"> Power certification re-run if the carrier changes any</w:t>
      </w:r>
    </w:p>
    <w:p>
      <w:r>
        <w:t>certified geometry (it does — panels grow), at the registered tiers.</w:t>
      </w:r>
    </w:p>
    <w:p>
      <w:pPr>
        <w:pStyle w:val="ListNumber"/>
      </w:pPr>
      <w:r>
        <w:rPr>
          <w:b/>
        </w:rPr>
        <w:t>Owner seal.</w:t>
      </w:r>
      <w:r>
        <w:t xml:space="preserve"> asylum's authorization binds the exact manifest blob; the</w:t>
      </w:r>
    </w:p>
    <w:p>
      <w:r>
        <w:t>barrier ledger admits the carrier into the next window's PRESTART. Only now</w:t>
      </w:r>
    </w:p>
    <w:p>
      <w:r>
        <w:t>does prospective evaluation data begin to accrue.</w:t>
      </w:r>
    </w:p>
    <w:p>
      <w:r>
        <w:t>Cost anchor: cascadia's onboarding ran through exactly this loop across the</w:t>
      </w:r>
    </w:p>
    <w:p>
      <w:r>
        <w:t>window-2 campaign — none of these steps is skippable, and the calendar/authority</w:t>
      </w:r>
    </w:p>
    <w:p>
      <w:r>
        <w:t>steps (6) exist precisely because a compacted day list silently slides the</w:t>
      </w:r>
    </w:p>
    <w:p>
      <w:r>
        <w:t xml:space="preserve">evaluation start (see </w:t>
      </w:r>
      <w:r>
        <w:rPr>
          <w:rFonts w:ascii="Consolas" w:hAnsi="Consolas"/>
          <w:sz w:val="18"/>
        </w:rPr>
        <w:t>calendar_authority_w2_v2.md</w:t>
      </w:r>
      <w:r>
        <w:t>, KAT 2).</w:t>
      </w:r>
    </w:p>
    <w:p>
      <w:pPr>
        <w:pStyle w:val="Heading1"/>
      </w:pPr>
      <w:r>
        <w:t>6. Visualization</w:t>
      </w:r>
    </w:p>
    <w:p>
      <w:r>
        <w:rPr>
          <w:rFonts w:ascii="Consolas" w:hAnsi="Consolas"/>
          <w:sz w:val="18"/>
        </w:rPr>
        <w:t>monitoring/dashboard/data_flow.html</w:t>
      </w:r>
      <w:r>
        <w:t xml:space="preserve"> renders this guide's content live: a</w:t>
      </w:r>
    </w:p>
    <w:p>
      <w:r>
        <w:t>pipeline flow diagram (S0→S12 with gates) and a topographic map (OpenTopoMap</w:t>
      </w:r>
    </w:p>
    <w:p>
      <w:r>
        <w:t>tiles) showing the four window-2 carrier bounding boxes, the three MAG</w:t>
      </w:r>
    </w:p>
    <w:p>
      <w:r>
        <w:t>observatories (IZN 40.5N 29.7E; FRN 37.091N −119.718E; TUC 32.174N −110.733E),</w:t>
      </w:r>
    </w:p>
    <w:p>
      <w:r>
        <w:t xml:space="preserve">and the daily-monitor regions. Serve locally with </w:t>
      </w:r>
      <w:r>
        <w:rPr>
          <w:rFonts w:ascii="Consolas" w:hAnsi="Consolas"/>
          <w:sz w:val="18"/>
        </w:rPr>
        <w:t>monitoring/dashboard/serve.bat</w:t>
      </w:r>
    </w:p>
    <w:p>
      <w:r>
        <w:t>or via the Pages deployment.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