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TECHNICAL SPECIFICATION: LOCALIQ HYBRID RETRIEVAL ARCHITECTURE</w:t>
      </w:r>
    </w:p>
    <w:p>
      <w:r>
        <w:t>Section 1: Architectural Overview. The LOCALIQ system executes 100% on-device neural information retrieval without reliance on external cloud servers or proprietary vendor APIs. Vector embeddings are generated with 384 dimensions using the sentence-transformers all-MiniLM-L6-v2 model.</w:t>
      </w:r>
    </w:p>
    <w:p>
      <w:r>
        <w:t>Section 2: Truthful Document Provenance. Unlike traditional generative assistants that hallucinate page numbers, LOCALIQ calculates document section and paragraph offsets for DOCX files, preserving exact citation anchors.</w:t>
      </w:r>
    </w:p>
    <w:p>
      <w:r>
        <w:t>Section 3: Mathematical Verification. The vector database indexes unit L2-normalized float32 arrays, allowing inner-product similarity to mathematically match cosine similarity across all ingested chunks.</w:t>
      </w:r>
    </w:p>
  </w:body>
</w:document>
</file>