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A1A1A"/>
          <w:spacing w:val="30"/>
          <w:sz w:val="40"/>
          <w:szCs w:val="40"/>
        </w:rPr>
        <w:t xml:space="preserve">KALPAK KANUNGO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F3A5F"/>
          <w:spacing w:val="8"/>
          <w:sz w:val="23"/>
          <w:szCs w:val="23"/>
        </w:rPr>
        <w:t xml:space="preserve">Generative AI &amp; Agentic AI Engineer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+91 87776 51808   •   kanungokalpak@gmail.com   •   linkedin.com/in/kanungokalpak   •   Kolkata, India</w:t>
      </w:r>
    </w:p>
    <w:p>
      <w:pPr>
        <w:pBdr>
          <w:bottom w:val="single" w:color="1F3A5F" w:sz="8" w:space="2"/>
        </w:pBdr>
        <w:spacing w:after="36" w:before="96"/>
      </w:pPr>
      <w:r>
        <w:rPr>
          <w:rFonts w:ascii="Calibri" w:cs="Calibri" w:eastAsia="Calibri" w:hAnsi="Calibri"/>
          <w:b/>
          <w:bCs/>
          <w:caps/>
          <w:color w:val="1F3A5F"/>
          <w:spacing w:val="12"/>
          <w:sz w:val="22"/>
          <w:szCs w:val="22"/>
        </w:rPr>
        <w:t xml:space="preserve">Professional Summary</w:t>
      </w:r>
    </w:p>
    <w:p>
      <w:pPr>
        <w:spacing w:after="20" w:line="240"/>
        <w:jc w:val="both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Engineer with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3 years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building and supporting enterprise data and workflow systems in regulated healthcare, now specialized in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Generative AI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Agentic AI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. Designs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multi-agent systems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that orchestrate established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LLMs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in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Python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supervisor / specialist delegation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RAG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over vector stores,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tool-calling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via APIs, and confidence-gated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human-in-the-loop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approval — rather than training models from scratch. Combines a strong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data engineering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and diagnostic foundation (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Oracle SQL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ETL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cross-system integration analysis) with an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audit-trail-first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instinct from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GxP / 21 CFR Part 11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environments that translates directly into traceable, governable AI systems.</w:t>
      </w:r>
    </w:p>
    <w:p>
      <w:pPr>
        <w:pBdr>
          <w:bottom w:val="single" w:color="1F3A5F" w:sz="8" w:space="2"/>
        </w:pBdr>
        <w:spacing w:after="36" w:before="96"/>
      </w:pPr>
      <w:r>
        <w:rPr>
          <w:rFonts w:ascii="Calibri" w:cs="Calibri" w:eastAsia="Calibri" w:hAnsi="Calibri"/>
          <w:b/>
          <w:bCs/>
          <w:caps/>
          <w:color w:val="1F3A5F"/>
          <w:spacing w:val="12"/>
          <w:sz w:val="22"/>
          <w:szCs w:val="22"/>
        </w:rPr>
        <w:t xml:space="preserve">Core Skills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00"/>
        <w:gridCol w:w="8500"/>
      </w:tblGrid>
      <w:tr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60"/>
              <w:bottom w:type="dxa" w:w="2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Languages</w:t>
            </w:r>
          </w:p>
        </w:tc>
        <w:tc>
          <w:tcPr>
            <w:tcW w:type="dxa" w:w="850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Python, SQL (Oracle), PowerShell</w:t>
            </w:r>
          </w:p>
        </w:tc>
      </w:tr>
      <w:tr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60"/>
              <w:bottom w:type="dxa" w:w="2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Agentic AI &amp; LLMs</w:t>
            </w:r>
          </w:p>
        </w:tc>
        <w:tc>
          <w:tcPr>
            <w:tcW w:type="dxa" w:w="850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Claude, Google Gemini, OpenAI GPT, LLaMA, LangGraph, LangChain, Multi-Agent Orchestration, Supervisor / Specialist Patterns, ReAct, Planning &amp; Reflection, Self-Correction (AI-reviewing-AI), Human-in-the-Loop Design, Prompt Engineering, Tool Calling</w:t>
            </w:r>
          </w:p>
        </w:tc>
      </w:tr>
      <w:tr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60"/>
              <w:bottom w:type="dxa" w:w="2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RAG &amp; Retrieval</w:t>
            </w:r>
          </w:p>
        </w:tc>
        <w:tc>
          <w:tcPr>
            <w:tcW w:type="dxa" w:w="850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ChromaDB, Sentence-Transformers, Embedding Pipelines, Semantic Search, Context Grounding, Chunking</w:t>
            </w:r>
          </w:p>
        </w:tc>
      </w:tr>
      <w:tr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60"/>
              <w:bottom w:type="dxa" w:w="2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APIs &amp; Backend</w:t>
            </w:r>
          </w:p>
        </w:tc>
        <w:tc>
          <w:tcPr>
            <w:tcW w:type="dxa" w:w="850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FastAPI, Flask, Slack Bolt, REST APIs, Google Drive / Sheets API, SQLite Checkpointing, ngrok</w:t>
            </w:r>
          </w:p>
        </w:tc>
      </w:tr>
      <w:tr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60"/>
              <w:bottom w:type="dxa" w:w="2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Cloud &amp; LLM Platforms</w:t>
            </w:r>
          </w:p>
        </w:tc>
        <w:tc>
          <w:tcPr>
            <w:tcW w:type="dxa" w:w="850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AWS Bedrock, Microsoft Azure (Functions, API Management, Monitor), Azure OpenAI, AWS (Cloud Practitioner)</w:t>
            </w:r>
          </w:p>
        </w:tc>
      </w:tr>
      <w:tr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60"/>
              <w:bottom w:type="dxa" w:w="20"/>
              <w:right w:type="dxa" w:w="8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8"/>
                <w:szCs w:val="18"/>
              </w:rPr>
              <w:t xml:space="preserve">Data &amp; Governance</w:t>
            </w:r>
          </w:p>
        </w:tc>
        <w:tc>
          <w:tcPr>
            <w:tcW w:type="dxa" w:w="850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Oracle SQL, Informatica ETL, Source-to-Target Reconciliation, Data Quality Monitoring, GxP / 21 CFR Part 11 Audit-Trail Design</w:t>
            </w:r>
          </w:p>
        </w:tc>
      </w:tr>
    </w:tbl>
    <w:p>
      <w:pPr>
        <w:pBdr>
          <w:bottom w:val="single" w:color="1F3A5F" w:sz="8" w:space="2"/>
        </w:pBdr>
        <w:spacing w:after="36" w:before="96"/>
      </w:pPr>
      <w:r>
        <w:rPr>
          <w:rFonts w:ascii="Calibri" w:cs="Calibri" w:eastAsia="Calibri" w:hAnsi="Calibri"/>
          <w:b/>
          <w:bCs/>
          <w:caps/>
          <w:color w:val="1F3A5F"/>
          <w:spacing w:val="12"/>
          <w:sz w:val="22"/>
          <w:szCs w:val="22"/>
        </w:rPr>
        <w:t xml:space="preserve">AI &amp; Agentic AI Projects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DS Traceability Steward — Agentic Slack Copilot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2026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1F3A5F"/>
          <w:sz w:val="18"/>
          <w:szCs w:val="18"/>
        </w:rPr>
        <w:t xml:space="preserve">Python · LangGraph · Google Gemini · ChromaDB · Sentence-Transformers · Slack Bolt · FastAPI · Google Drive API · SQLite</w:t>
      </w:r>
    </w:p>
    <w:p>
      <w:pPr>
        <w:pStyle w:val="ListParagraph"/>
        <w:numPr>
          <w:ilvl w:val="0"/>
          <w:numId w:val="2"/>
        </w:numPr>
        <w:spacing w:after="12" w:before="12" w:line="232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an end-to-end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agentic AI pipeline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that autonomously links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Slack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user stories to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Design Specification (DS) IDs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in a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GxP-regulated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complaint-handling document, eliminating manual traceability across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323 DS entries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spanning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26 configuration families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2" w:before="12" w:line="232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a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multi-agent LangGraph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pipeline — a matcher agent (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semantic search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via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ChromaDB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+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Sentence-Transformers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), a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Gemini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-powered drafting agent that generates house-style DS entries when no match exists, and a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self-correction reviewer agent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that critiques and revises drafts before human review (an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AI-reviewing-AI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quality gate).</w:t>
      </w:r>
    </w:p>
    <w:p>
      <w:pPr>
        <w:pStyle w:val="ListParagraph"/>
        <w:numPr>
          <w:ilvl w:val="0"/>
          <w:numId w:val="2"/>
        </w:numPr>
        <w:spacing w:after="12" w:before="12" w:line="232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a durable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human-in-the-loop approval gate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using LangGraph's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interrupt / resume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pattern with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SQLite checkpointing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pausing mid-execution for Slack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Approve / Edit / Reject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decisions and resuming from the exact checkpoint with no state loss across restarts.</w:t>
      </w:r>
    </w:p>
    <w:p>
      <w:pPr>
        <w:pStyle w:val="ListParagraph"/>
        <w:numPr>
          <w:ilvl w:val="0"/>
          <w:numId w:val="2"/>
        </w:numPr>
        <w:spacing w:after="12" w:before="12" w:line="232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Engineered a table-aware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python-docx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parser with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Google Drive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write-back — inserting approved entries into the correct family section and uploading a new revision (Drive revision history as an immutable audit trail per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21 CFR Part 11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); exposed via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FastAPI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+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Slack Bolt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(slash commands, Block Kit modals, button callbacks) with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Google Sheets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append logging for concurrent-safe audit tracking.</w:t>
      </w:r>
    </w:p>
    <w:p>
      <w:pPr>
        <w:spacing w:after="40" w:before="20" w:line="230"/>
        <w:ind w:left="360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Architecture: 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Slack Modal → FastAPI → LangGraph Pipeline → Semantic Match / Gemini Draft → Reviewer Agent → Human Gate → Drive Write-back → Sheets Log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[ Second Project — title TBD ]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In Development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1F3A5F"/>
          <w:sz w:val="18"/>
          <w:szCs w:val="18"/>
        </w:rPr>
        <w:t xml:space="preserve">[ tech stack TBD ]</w:t>
      </w:r>
    </w:p>
    <w:p>
      <w:pPr>
        <w:pStyle w:val="ListParagraph"/>
        <w:numPr>
          <w:ilvl w:val="0"/>
          <w:numId w:val="2"/>
        </w:numPr>
        <w:spacing w:after="12" w:before="12" w:line="232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[ Placeholder — add 2–3 bullets for your next agentic AI / GenAI project here. ]</w:t>
      </w:r>
    </w:p>
    <w:p>
      <w:pPr>
        <w:pBdr>
          <w:bottom w:val="single" w:color="1F3A5F" w:sz="8" w:space="2"/>
        </w:pBdr>
        <w:spacing w:after="36" w:before="96"/>
      </w:pPr>
      <w:r>
        <w:rPr>
          <w:rFonts w:ascii="Calibri" w:cs="Calibri" w:eastAsia="Calibri" w:hAnsi="Calibri"/>
          <w:b/>
          <w:bCs/>
          <w:caps/>
          <w:color w:val="1F3A5F"/>
          <w:spacing w:val="12"/>
          <w:sz w:val="22"/>
          <w:szCs w:val="22"/>
        </w:rPr>
        <w:t xml:space="preserve">Professional Experience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Cognizant Technology Solutions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Sep 2023 – Present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Developer / Consultant — Enterprise Quality &amp; Data Systems (Healthcare &amp; Life Sciences)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Kolkata, India</w:t>
      </w:r>
    </w:p>
    <w:p>
      <w:pPr>
        <w:pStyle w:val="ListParagraph"/>
        <w:numPr>
          <w:ilvl w:val="0"/>
          <w:numId w:val="2"/>
        </w:numPr>
        <w:spacing w:after="12" w:before="12" w:line="232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Python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SQL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automation that replaced recurring manual production monitoring on a validated enterprise platform,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automating 13 monitoring processes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and surfacing integration and data-load failures before business impact.</w:t>
      </w:r>
    </w:p>
    <w:p>
      <w:pPr>
        <w:pStyle w:val="ListParagraph"/>
        <w:numPr>
          <w:ilvl w:val="0"/>
          <w:numId w:val="2"/>
        </w:numPr>
        <w:spacing w:after="12" w:before="12" w:line="232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Diagnosed cross-system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SAP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integration failures via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Oracle SQL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against transaction and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JMS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audit tables, ran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Informatica ETL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loads with source-to-target reconciliation, and authored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DS / IQ / MP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validation documentation with full requirement-to-implementation traceability under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GxP / 21 CFR Part 11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— executing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ValGenesis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IQ / PIQ scripts through multiple go-lives.</w:t>
      </w:r>
    </w:p>
    <w:p>
      <w:pPr>
        <w:pBdr>
          <w:bottom w:val="single" w:color="1F3A5F" w:sz="8" w:space="2"/>
        </w:pBdr>
        <w:spacing w:after="36" w:before="96"/>
      </w:pPr>
      <w:r>
        <w:rPr>
          <w:rFonts w:ascii="Calibri" w:cs="Calibri" w:eastAsia="Calibri" w:hAnsi="Calibri"/>
          <w:b/>
          <w:bCs/>
          <w:caps/>
          <w:color w:val="1F3A5F"/>
          <w:spacing w:val="12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2" w:before="12" w:line="232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Claude Certified Architect — Foundations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(Anthropic)</w:t>
      </w:r>
    </w:p>
    <w:p>
      <w:pPr>
        <w:pStyle w:val="ListParagraph"/>
        <w:numPr>
          <w:ilvl w:val="0"/>
          <w:numId w:val="2"/>
        </w:numPr>
        <w:spacing w:after="12" w:before="12" w:line="232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Microsoft Certified: Azure Fundamentals (AZ-900)</w:t>
      </w:r>
    </w:p>
    <w:p>
      <w:pPr>
        <w:pStyle w:val="ListParagraph"/>
        <w:numPr>
          <w:ilvl w:val="0"/>
          <w:numId w:val="2"/>
        </w:numPr>
        <w:spacing w:after="12" w:before="12" w:line="232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AWS Certified Cloud Practitioner</w:t>
      </w:r>
    </w:p>
    <w:p>
      <w:pPr>
        <w:pStyle w:val="ListParagraph"/>
        <w:numPr>
          <w:ilvl w:val="0"/>
          <w:numId w:val="2"/>
        </w:numPr>
        <w:spacing w:after="12" w:before="12" w:line="232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Cognizant Vibe Code Hackathon</w:t>
      </w:r>
    </w:p>
    <w:p>
      <w:pPr>
        <w:pBdr>
          <w:bottom w:val="single" w:color="1F3A5F" w:sz="8" w:space="2"/>
        </w:pBdr>
        <w:spacing w:after="36" w:before="96"/>
      </w:pPr>
      <w:r>
        <w:rPr>
          <w:rFonts w:ascii="Calibri" w:cs="Calibri" w:eastAsia="Calibri" w:hAnsi="Calibri"/>
          <w:b/>
          <w:bCs/>
          <w:caps/>
          <w:color w:val="1F3A5F"/>
          <w:spacing w:val="12"/>
          <w:sz w:val="22"/>
          <w:szCs w:val="22"/>
        </w:rPr>
        <w:t xml:space="preserve">Education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University of Engineering and Management, Kolkata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Jul 2019 – Jun 2023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B.Tech, Computer Science — CGPA: 9.05</w:t>
      </w:r>
    </w:p>
    <w:p>
      <w:pPr>
        <w:spacing w:after="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Julien Day School — ISC (83%), 2019   •   ICSE (90%), 2017</w:t>
      </w:r>
    </w:p>
    <w:sectPr>
      <w:pgSz w:w="12240" w:h="15840" w:orient="portrait"/>
      <w:pgMar w:top="380" w:right="720" w:bottom="3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60"/>
      </w:pPr>
      <w:rPr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2026-09-23T14:34:36.183Z</dcterms:created>
  <dcterms:modified xsi:type="dcterms:W3CDTF">2026-09-23T14:34:36.183Z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