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0d0d0d" w:val="clear"/>
        <w:tabs>
          <w:tab w:val="right" w:leader="none" w:pos="14112"/>
        </w:tabs>
        <w:spacing w:after="0" w:lineRule="auto"/>
        <w:rPr>
          <w:sz w:val="20"/>
          <w:szCs w:val="20"/>
        </w:rPr>
      </w:pPr>
      <w:r w:rsidDel="00000000" w:rsidR="00000000" w:rsidRPr="00000000">
        <w:rPr>
          <w:sz w:val="20"/>
          <w:szCs w:val="20"/>
          <w:rtl w:val="0"/>
        </w:rPr>
        <w:t xml:space="preserve"> n\</w:t>
      </w:r>
      <w:r w:rsidDel="00000000" w:rsidR="00000000" w:rsidRPr="00000000">
        <w:rPr>
          <w:sz w:val="20"/>
          <w:szCs w:val="20"/>
          <w:rtl w:val="0"/>
        </w:rPr>
        <w:tab/>
        <w:tab/>
      </w:r>
    </w:p>
    <w:p w:rsidR="00000000" w:rsidDel="00000000" w:rsidP="00000000" w:rsidRDefault="00000000" w:rsidRPr="00000000" w14:paraId="00000002">
      <w:pPr>
        <w:rPr>
          <w:b w:val="1"/>
          <w:color w:val="ff0000"/>
        </w:rPr>
      </w:pPr>
      <w:r w:rsidDel="00000000" w:rsidR="00000000" w:rsidRPr="00000000">
        <w:rPr>
          <w:rtl w:val="0"/>
        </w:rPr>
      </w:r>
    </w:p>
    <w:p w:rsidR="00000000" w:rsidDel="00000000" w:rsidP="00000000" w:rsidRDefault="00000000" w:rsidRPr="00000000" w14:paraId="00000003">
      <w:pPr>
        <w:rPr>
          <w:sz w:val="20"/>
          <w:szCs w:val="20"/>
        </w:rPr>
        <w:sectPr>
          <w:footerReference r:id="rId8" w:type="default"/>
          <w:pgSz w:h="12240" w:w="15840" w:orient="landscape"/>
          <w:pgMar w:bottom="1008" w:top="1008" w:left="864" w:right="864" w:header="720" w:footer="720"/>
          <w:pgNumType w:start="1"/>
        </w:sectPr>
      </w:pPr>
      <w:r w:rsidDel="00000000" w:rsidR="00000000" w:rsidRPr="00000000">
        <w:rPr/>
        <w:drawing>
          <wp:inline distB="0" distT="0" distL="0" distR="0">
            <wp:extent cx="8961120" cy="5457190"/>
            <wp:effectExtent b="0" l="0" r="0" t="0"/>
            <wp:docPr id="10"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8961120" cy="545719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0"/>
          <w:i w:val="0"/>
          <w:smallCaps w:val="0"/>
          <w:strike w:val="0"/>
          <w:color w:val="0070c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0"/>
          <w:i w:val="0"/>
          <w:smallCaps w:val="0"/>
          <w:strike w:val="0"/>
          <w:color w:val="0070c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spacing w:after="0" w:lineRule="auto"/>
        <w:rPr>
          <w:b w:val="1"/>
          <w:sz w:val="20"/>
          <w:szCs w:val="20"/>
          <w:u w:val="single"/>
        </w:rPr>
      </w:pPr>
      <w:r w:rsidDel="00000000" w:rsidR="00000000" w:rsidRPr="00000000">
        <w:rPr>
          <w:b w:val="1"/>
          <w:sz w:val="20"/>
          <w:szCs w:val="20"/>
          <w:u w:val="single"/>
          <w:rtl w:val="0"/>
        </w:rPr>
        <w:t xml:space="preserve">BUSINESS SUMMARY</w:t>
      </w:r>
    </w:p>
    <w:p w:rsidR="00000000" w:rsidDel="00000000" w:rsidP="00000000" w:rsidRDefault="00000000" w:rsidRPr="00000000" w14:paraId="00000008">
      <w:pPr>
        <w:spacing w:after="0" w:lineRule="auto"/>
        <w:rPr>
          <w:b w:val="1"/>
          <w:sz w:val="20"/>
          <w:szCs w:val="20"/>
          <w:u w:val="single"/>
        </w:rPr>
      </w:pPr>
      <w:r w:rsidDel="00000000" w:rsidR="00000000" w:rsidRPr="00000000">
        <w:rPr>
          <w:rtl w:val="0"/>
        </w:rPr>
      </w:r>
    </w:p>
    <w:p w:rsidR="00000000" w:rsidDel="00000000" w:rsidP="00000000" w:rsidRDefault="00000000" w:rsidRPr="00000000" w14:paraId="00000009">
      <w:pPr>
        <w:spacing w:after="0" w:line="240" w:lineRule="auto"/>
        <w:rPr>
          <w:sz w:val="20"/>
          <w:szCs w:val="20"/>
        </w:rPr>
      </w:pPr>
      <w:r w:rsidDel="00000000" w:rsidR="00000000" w:rsidRPr="00000000">
        <w:rPr>
          <w:b w:val="1"/>
          <w:sz w:val="20"/>
          <w:szCs w:val="20"/>
          <w:u w:val="single"/>
          <w:rtl w:val="0"/>
        </w:rPr>
        <w:t xml:space="preserve">Business Description</w:t>
      </w:r>
      <w:r w:rsidDel="00000000" w:rsidR="00000000" w:rsidRPr="00000000">
        <w:rPr>
          <w:sz w:val="20"/>
          <w:szCs w:val="20"/>
          <w:rtl w:val="0"/>
        </w:rPr>
        <w:t xml:space="preserve"> </w:t>
      </w:r>
      <w:r w:rsidDel="00000000" w:rsidR="00000000" w:rsidRPr="00000000">
        <w:rPr>
          <w:color w:val="0070c0"/>
          <w:sz w:val="20"/>
          <w:szCs w:val="20"/>
          <w:rtl w:val="0"/>
        </w:rPr>
        <w:t xml:space="preserve">– </w:t>
      </w:r>
      <w:r w:rsidDel="00000000" w:rsidR="00000000" w:rsidRPr="00000000">
        <w:rPr>
          <w:sz w:val="20"/>
          <w:szCs w:val="20"/>
          <w:rtl w:val="0"/>
        </w:rPr>
        <w:t xml:space="preserve">Ferrari ranks among one of the world’s top luxury brands, renowned for crafting, engineering, and selling </w:t>
      </w:r>
      <w:r w:rsidDel="00000000" w:rsidR="00000000" w:rsidRPr="00000000">
        <w:rPr>
          <w:sz w:val="20"/>
          <w:szCs w:val="20"/>
          <w:u w:val="single"/>
          <w:rtl w:val="0"/>
        </w:rPr>
        <w:t xml:space="preserve">luxury performance sports cars</w:t>
      </w:r>
      <w:r w:rsidDel="00000000" w:rsidR="00000000" w:rsidRPr="00000000">
        <w:rPr>
          <w:sz w:val="20"/>
          <w:szCs w:val="20"/>
          <w:rtl w:val="0"/>
        </w:rPr>
        <w:t xml:space="preserve">. Symbolizing exclusivity, innovation, and Italian design heritage, the brand is closely associated with Scuderia Ferrari, one of the most successful teams in Formula 1 history. They have had an impressive track record of over 1,000 Grand Prix races, 243 wins, and 16 Constructors’ titles. Operating from </w:t>
      </w:r>
      <w:r w:rsidDel="00000000" w:rsidR="00000000" w:rsidRPr="00000000">
        <w:rPr>
          <w:sz w:val="20"/>
          <w:szCs w:val="20"/>
          <w:u w:val="single"/>
          <w:rtl w:val="0"/>
        </w:rPr>
        <w:t xml:space="preserve">Maranello, Italy, </w:t>
      </w:r>
      <w:r w:rsidDel="00000000" w:rsidR="00000000" w:rsidRPr="00000000">
        <w:rPr>
          <w:sz w:val="20"/>
          <w:szCs w:val="20"/>
          <w:rtl w:val="0"/>
        </w:rPr>
        <w:t xml:space="preserve">Ferrari sells its cars in over 52 markets through 178 authorized dealers.</w:t>
      </w:r>
    </w:p>
    <w:p w:rsidR="00000000" w:rsidDel="00000000" w:rsidP="00000000" w:rsidRDefault="00000000" w:rsidRPr="00000000" w14:paraId="0000000A">
      <w:pPr>
        <w:spacing w:after="0" w:lineRule="auto"/>
        <w:rPr>
          <w:b w:val="1"/>
          <w:sz w:val="20"/>
          <w:szCs w:val="20"/>
          <w:u w:val="single"/>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0B">
      <w:pPr>
        <w:spacing w:after="0" w:lineRule="auto"/>
        <w:rPr>
          <w:sz w:val="20"/>
          <w:szCs w:val="20"/>
        </w:rPr>
      </w:pPr>
      <w:r w:rsidDel="00000000" w:rsidR="00000000" w:rsidRPr="00000000">
        <w:rPr>
          <w:b w:val="1"/>
          <w:sz w:val="20"/>
          <w:szCs w:val="20"/>
          <w:u w:val="single"/>
          <w:rtl w:val="0"/>
        </w:rPr>
        <w:t xml:space="preserve">Numbers and </w:t>
      </w:r>
      <w:r w:rsidDel="00000000" w:rsidR="00000000" w:rsidRPr="00000000">
        <w:rPr>
          <w:b w:val="1"/>
          <w:sz w:val="20"/>
          <w:szCs w:val="20"/>
          <w:u w:val="single"/>
          <w:rtl w:val="0"/>
        </w:rPr>
        <w:t xml:space="preserve">Segments/ Geography</w:t>
      </w:r>
      <w:r w:rsidDel="00000000" w:rsidR="00000000" w:rsidRPr="00000000">
        <w:rPr>
          <w:sz w:val="20"/>
          <w:szCs w:val="20"/>
          <w:rtl w:val="0"/>
        </w:rPr>
        <w:t xml:space="preserve"> </w:t>
      </w:r>
      <w:r w:rsidDel="00000000" w:rsidR="00000000" w:rsidRPr="00000000">
        <w:rPr>
          <w:b w:val="1"/>
          <w:sz w:val="20"/>
          <w:szCs w:val="20"/>
          <w:u w:val="single"/>
          <w:rtl w:val="0"/>
        </w:rPr>
        <w:t xml:space="preserve">: </w:t>
      </w:r>
      <w:r w:rsidDel="00000000" w:rsidR="00000000" w:rsidRPr="00000000">
        <w:rPr>
          <w:rtl w:val="0"/>
        </w:rPr>
      </w:r>
    </w:p>
    <w:p w:rsidR="00000000" w:rsidDel="00000000" w:rsidP="00000000" w:rsidRDefault="00000000" w:rsidRPr="00000000" w14:paraId="0000000C">
      <w:pPr>
        <w:spacing w:after="0" w:line="240" w:lineRule="auto"/>
        <w:rPr>
          <w:sz w:val="20"/>
          <w:szCs w:val="20"/>
        </w:rPr>
      </w:pPr>
      <w:r w:rsidDel="00000000" w:rsidR="00000000" w:rsidRPr="00000000">
        <w:rPr>
          <w:rtl w:val="0"/>
        </w:rPr>
      </w:r>
    </w:p>
    <w:tbl>
      <w:tblPr>
        <w:tblStyle w:val="Table1"/>
        <w:tblW w:w="1022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6"/>
        <w:gridCol w:w="2556"/>
        <w:gridCol w:w="2556"/>
        <w:gridCol w:w="2556"/>
        <w:tblGridChange w:id="0">
          <w:tblGrid>
            <w:gridCol w:w="2556"/>
            <w:gridCol w:w="2556"/>
            <w:gridCol w:w="2556"/>
            <w:gridCol w:w="2556"/>
          </w:tblGrid>
        </w:tblGridChange>
      </w:tblGrid>
      <w:tr>
        <w:trPr>
          <w:cantSplit w:val="0"/>
          <w:trHeight w:val="43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after="0" w:line="240" w:lineRule="auto"/>
              <w:rPr>
                <w:b w:val="1"/>
                <w:sz w:val="20"/>
                <w:szCs w:val="20"/>
              </w:rPr>
            </w:pPr>
            <w:r w:rsidDel="00000000" w:rsidR="00000000" w:rsidRPr="00000000">
              <w:rPr>
                <w:b w:val="1"/>
                <w:sz w:val="20"/>
                <w:szCs w:val="20"/>
                <w:rtl w:val="0"/>
              </w:rPr>
              <w:t xml:space="preserve">Models / Shipment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after="0" w:line="240" w:lineRule="auto"/>
              <w:rPr>
                <w:b w:val="1"/>
                <w:sz w:val="20"/>
                <w:szCs w:val="20"/>
              </w:rPr>
            </w:pPr>
            <w:r w:rsidDel="00000000" w:rsidR="00000000" w:rsidRPr="00000000">
              <w:rPr>
                <w:b w:val="1"/>
                <w:sz w:val="20"/>
                <w:szCs w:val="20"/>
                <w:rtl w:val="0"/>
              </w:rPr>
              <w:t xml:space="preserve">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after="0" w:line="240" w:lineRule="auto"/>
              <w:rPr>
                <w:b w:val="1"/>
                <w:sz w:val="20"/>
                <w:szCs w:val="20"/>
              </w:rPr>
            </w:pPr>
            <w:r w:rsidDel="00000000" w:rsidR="00000000" w:rsidRPr="00000000">
              <w:rPr>
                <w:b w:val="1"/>
                <w:sz w:val="20"/>
                <w:szCs w:val="20"/>
                <w:rtl w:val="0"/>
              </w:rPr>
              <w:t xml:space="preserve">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after="0" w:line="240" w:lineRule="auto"/>
              <w:rPr>
                <w:b w:val="1"/>
                <w:sz w:val="20"/>
                <w:szCs w:val="20"/>
              </w:rPr>
            </w:pPr>
            <w:r w:rsidDel="00000000" w:rsidR="00000000" w:rsidRPr="00000000">
              <w:rPr>
                <w:b w:val="1"/>
                <w:sz w:val="20"/>
                <w:szCs w:val="20"/>
                <w:rtl w:val="0"/>
              </w:rPr>
              <w:t xml:space="preserve">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pBdr>
                <w:top w:color="e3e3e3" w:space="0" w:sz="0" w:val="none"/>
                <w:left w:color="e3e3e3" w:space="0" w:sz="0" w:val="none"/>
                <w:bottom w:color="e3e3e3" w:space="0" w:sz="0" w:val="none"/>
                <w:right w:color="e3e3e3" w:space="0" w:sz="0" w:val="none"/>
                <w:between w:color="e3e3e3" w:space="0" w:sz="0" w:val="none"/>
              </w:pBdr>
              <w:spacing w:after="0" w:line="240" w:lineRule="auto"/>
              <w:rPr>
                <w:sz w:val="20"/>
                <w:szCs w:val="20"/>
              </w:rPr>
            </w:pPr>
            <w:r w:rsidDel="00000000" w:rsidR="00000000" w:rsidRPr="00000000">
              <w:rPr>
                <w:b w:val="1"/>
                <w:color w:val="0d0d0d"/>
                <w:sz w:val="20"/>
                <w:szCs w:val="20"/>
                <w:rtl w:val="0"/>
              </w:rPr>
              <w:t xml:space="preserve">Range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after="0" w:line="240" w:lineRule="auto"/>
              <w:rPr>
                <w:sz w:val="20"/>
                <w:szCs w:val="20"/>
              </w:rPr>
            </w:pPr>
            <w:r w:rsidDel="00000000" w:rsidR="00000000" w:rsidRPr="00000000">
              <w:rPr>
                <w:sz w:val="20"/>
                <w:szCs w:val="20"/>
                <w:rtl w:val="0"/>
              </w:rPr>
              <w:t xml:space="preserve">93%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after="0" w:line="240" w:lineRule="auto"/>
              <w:rPr>
                <w:sz w:val="20"/>
                <w:szCs w:val="20"/>
              </w:rPr>
            </w:pPr>
            <w:r w:rsidDel="00000000" w:rsidR="00000000" w:rsidRPr="00000000">
              <w:rPr>
                <w:sz w:val="20"/>
                <w:szCs w:val="20"/>
                <w:rtl w:val="0"/>
              </w:rPr>
              <w:t xml:space="preserve">96%</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after="0" w:line="240" w:lineRule="auto"/>
              <w:rPr>
                <w:sz w:val="20"/>
                <w:szCs w:val="20"/>
              </w:rPr>
            </w:pPr>
            <w:r w:rsidDel="00000000" w:rsidR="00000000" w:rsidRPr="00000000">
              <w:rPr>
                <w:sz w:val="20"/>
                <w:szCs w:val="20"/>
                <w:rtl w:val="0"/>
              </w:rPr>
              <w:t xml:space="preserve">97%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after="0" w:line="240" w:lineRule="auto"/>
              <w:rPr>
                <w:b w:val="1"/>
                <w:sz w:val="20"/>
                <w:szCs w:val="20"/>
              </w:rPr>
            </w:pPr>
            <w:r w:rsidDel="00000000" w:rsidR="00000000" w:rsidRPr="00000000">
              <w:rPr>
                <w:b w:val="1"/>
                <w:sz w:val="20"/>
                <w:szCs w:val="20"/>
                <w:rtl w:val="0"/>
              </w:rPr>
              <w:t xml:space="preserve">Special Series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after="0" w:line="240" w:lineRule="auto"/>
              <w:rPr>
                <w:sz w:val="20"/>
                <w:szCs w:val="20"/>
              </w:rPr>
            </w:pPr>
            <w:r w:rsidDel="00000000" w:rsidR="00000000" w:rsidRPr="00000000">
              <w:rPr>
                <w:sz w:val="20"/>
                <w:szCs w:val="20"/>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after="0" w:line="240" w:lineRule="auto"/>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after="0" w:line="240" w:lineRule="auto"/>
              <w:rPr>
                <w:sz w:val="20"/>
                <w:szCs w:val="20"/>
              </w:rPr>
            </w:pPr>
            <w:r w:rsidDel="00000000" w:rsidR="00000000" w:rsidRPr="00000000">
              <w:rPr>
                <w:sz w:val="20"/>
                <w:szCs w:val="20"/>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after="0" w:line="240" w:lineRule="auto"/>
              <w:rPr>
                <w:b w:val="1"/>
                <w:sz w:val="20"/>
                <w:szCs w:val="20"/>
              </w:rPr>
            </w:pPr>
            <w:r w:rsidDel="00000000" w:rsidR="00000000" w:rsidRPr="00000000">
              <w:rPr>
                <w:b w:val="1"/>
                <w:sz w:val="20"/>
                <w:szCs w:val="20"/>
                <w:rtl w:val="0"/>
              </w:rPr>
              <w:t xml:space="preserve">Icona Series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after="0" w:line="240" w:lineRule="auto"/>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after="0" w:line="240" w:lineRule="auto"/>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after="0" w:line="240" w:lineRule="auto"/>
              <w:rPr>
                <w:sz w:val="20"/>
                <w:szCs w:val="20"/>
              </w:rPr>
            </w:pPr>
            <w:r w:rsidDel="00000000" w:rsidR="00000000" w:rsidRPr="00000000">
              <w:rPr>
                <w:sz w:val="20"/>
                <w:szCs w:val="20"/>
                <w:rtl w:val="0"/>
              </w:rPr>
              <w:t xml:space="preserve">1%</w:t>
            </w:r>
          </w:p>
        </w:tc>
      </w:tr>
    </w:tbl>
    <w:p w:rsidR="00000000" w:rsidDel="00000000" w:rsidP="00000000" w:rsidRDefault="00000000" w:rsidRPr="00000000" w14:paraId="0000001D">
      <w:pPr>
        <w:pBdr>
          <w:top w:color="e3e3e3" w:space="0" w:sz="0" w:val="none"/>
          <w:left w:color="e3e3e3" w:space="0" w:sz="0" w:val="none"/>
          <w:bottom w:color="e3e3e3" w:space="0" w:sz="0" w:val="none"/>
          <w:right w:color="e3e3e3" w:space="0" w:sz="0" w:val="none"/>
          <w:between w:color="e3e3e3" w:space="0" w:sz="0" w:val="none"/>
        </w:pBdr>
        <w:spacing w:after="0" w:before="300" w:line="240" w:lineRule="auto"/>
        <w:ind w:left="0" w:firstLine="0"/>
        <w:rPr>
          <w:color w:val="0d0d0d"/>
          <w:sz w:val="20"/>
          <w:szCs w:val="20"/>
        </w:rPr>
      </w:pPr>
      <w:r w:rsidDel="00000000" w:rsidR="00000000" w:rsidRPr="00000000">
        <w:rPr>
          <w:color w:val="0d0d0d"/>
          <w:sz w:val="20"/>
          <w:szCs w:val="20"/>
          <w:rtl w:val="0"/>
        </w:rPr>
        <w:t xml:space="preserve">I</w:t>
      </w:r>
      <w:r w:rsidDel="00000000" w:rsidR="00000000" w:rsidRPr="00000000">
        <w:rPr>
          <w:color w:val="0d0d0d"/>
          <w:sz w:val="20"/>
          <w:szCs w:val="20"/>
          <w:rtl w:val="0"/>
        </w:rPr>
        <w:t xml:space="preserve">n 2021, ICEs dominated the shipments with 85% of the total, while hybrid engines accounted for 15%. The following year, 2022, shows a change in this distribution with ICEs decreasing to 78% and hybrid engines increasing to 22%. The trend of increasing hybrid engine shipments continued into 2023, where they constituted 44% of the total shipments, nearly half, while ICEs decreased further to represent 56% of shipments. This trend indicates a sign</w:t>
      </w:r>
      <w:r w:rsidDel="00000000" w:rsidR="00000000" w:rsidRPr="00000000">
        <w:rPr>
          <w:color w:val="0d0d0d"/>
          <w:sz w:val="20"/>
          <w:szCs w:val="20"/>
          <w:rtl w:val="0"/>
        </w:rPr>
        <w:t xml:space="preserve">ificant </w:t>
      </w:r>
      <w:r w:rsidDel="00000000" w:rsidR="00000000" w:rsidRPr="00000000">
        <w:rPr>
          <w:b w:val="1"/>
          <w:color w:val="0d0d0d"/>
          <w:sz w:val="20"/>
          <w:szCs w:val="20"/>
          <w:rtl w:val="0"/>
        </w:rPr>
        <w:t xml:space="preserve">shift towards hybrid engines</w:t>
      </w:r>
      <w:r w:rsidDel="00000000" w:rsidR="00000000" w:rsidRPr="00000000">
        <w:rPr>
          <w:color w:val="0d0d0d"/>
          <w:sz w:val="20"/>
          <w:szCs w:val="20"/>
          <w:rtl w:val="0"/>
        </w:rPr>
        <w:t xml:space="preserve"> over the period shown, suggesting a strategic pivot or market demand inclining towards more hybrid technology in the units shipped.</w:t>
      </w:r>
      <w:r w:rsidDel="00000000" w:rsidR="00000000" w:rsidRPr="00000000">
        <w:rPr>
          <w:rtl w:val="0"/>
        </w:rPr>
      </w:r>
    </w:p>
    <w:p w:rsidR="00000000" w:rsidDel="00000000" w:rsidP="00000000" w:rsidRDefault="00000000" w:rsidRPr="00000000" w14:paraId="0000001E">
      <w:pPr>
        <w:pBdr>
          <w:top w:color="e3e3e3" w:space="0" w:sz="0" w:val="none"/>
          <w:left w:color="e3e3e3" w:space="0" w:sz="0" w:val="none"/>
          <w:bottom w:color="e3e3e3" w:space="0" w:sz="0" w:val="none"/>
          <w:right w:color="e3e3e3" w:space="0" w:sz="0" w:val="none"/>
          <w:between w:color="e3e3e3" w:space="0" w:sz="0" w:val="none"/>
        </w:pBdr>
        <w:spacing w:after="0" w:before="300" w:line="240" w:lineRule="auto"/>
        <w:rPr>
          <w:sz w:val="20"/>
          <w:szCs w:val="20"/>
        </w:rPr>
      </w:pPr>
      <w:r w:rsidDel="00000000" w:rsidR="00000000" w:rsidRPr="00000000">
        <w:rPr>
          <w:sz w:val="20"/>
          <w:szCs w:val="20"/>
          <w:rtl w:val="0"/>
        </w:rPr>
        <w:t xml:space="preserve">The following chart shows the percentage of our unit shipments by geographic market for the years ended December 31, 2021, 202, and 2023 </w:t>
      </w:r>
      <w:r w:rsidDel="00000000" w:rsidR="00000000" w:rsidRPr="00000000">
        <w:rPr>
          <w:sz w:val="20"/>
          <w:szCs w:val="20"/>
          <w:rtl w:val="0"/>
        </w:rPr>
        <w:t xml:space="preserve">respectively</w:t>
      </w:r>
      <w:r w:rsidDel="00000000" w:rsidR="00000000" w:rsidRPr="00000000">
        <w:rPr>
          <w:sz w:val="20"/>
          <w:szCs w:val="20"/>
          <w:rtl w:val="0"/>
        </w:rPr>
        <w:t xml:space="preserve">:</w:t>
      </w:r>
    </w:p>
    <w:p w:rsidR="00000000" w:rsidDel="00000000" w:rsidP="00000000" w:rsidRDefault="00000000" w:rsidRPr="00000000" w14:paraId="0000001F">
      <w:pPr>
        <w:spacing w:after="0" w:lineRule="auto"/>
        <w:jc w:val="center"/>
        <w:rPr>
          <w:b w:val="1"/>
          <w:sz w:val="20"/>
          <w:szCs w:val="20"/>
          <w:u w:val="single"/>
        </w:rPr>
      </w:pPr>
      <w:r w:rsidDel="00000000" w:rsidR="00000000" w:rsidRPr="00000000">
        <w:rPr>
          <w:b w:val="1"/>
          <w:sz w:val="20"/>
          <w:szCs w:val="20"/>
          <w:u w:val="single"/>
        </w:rPr>
        <w:drawing>
          <wp:inline distB="114300" distT="114300" distL="114300" distR="114300">
            <wp:extent cx="4924425" cy="2799398"/>
            <wp:effectExtent b="0" l="0" r="0" t="0"/>
            <wp:docPr id="7"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924425" cy="2799398"/>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after="0" w:lineRule="auto"/>
        <w:rPr>
          <w:b w:val="1"/>
          <w:sz w:val="8"/>
          <w:szCs w:val="8"/>
          <w:u w:val="single"/>
        </w:rPr>
      </w:pPr>
      <w:r w:rsidDel="00000000" w:rsidR="00000000" w:rsidRPr="00000000">
        <w:rPr>
          <w:b w:val="1"/>
          <w:sz w:val="20"/>
          <w:szCs w:val="20"/>
          <w:u w:val="single"/>
          <w:rtl w:val="0"/>
        </w:rPr>
        <w:t xml:space="preserve">                  </w:t>
      </w:r>
      <w:r w:rsidDel="00000000" w:rsidR="00000000" w:rsidRPr="00000000">
        <w:rPr>
          <w:rtl w:val="0"/>
        </w:rPr>
      </w:r>
    </w:p>
    <w:p w:rsidR="00000000" w:rsidDel="00000000" w:rsidP="00000000" w:rsidRDefault="00000000" w:rsidRPr="00000000" w14:paraId="00000021">
      <w:pPr>
        <w:spacing w:after="0" w:lineRule="auto"/>
        <w:rPr>
          <w:sz w:val="20"/>
          <w:szCs w:val="20"/>
        </w:rPr>
      </w:pPr>
      <w:r w:rsidDel="00000000" w:rsidR="00000000" w:rsidRPr="00000000">
        <w:rPr>
          <w:color w:val="0d0d0d"/>
          <w:sz w:val="20"/>
          <w:szCs w:val="20"/>
          <w:highlight w:val="white"/>
          <w:rtl w:val="0"/>
        </w:rPr>
        <w:t xml:space="preserve">There has been a consistent </w:t>
      </w:r>
      <w:r w:rsidDel="00000000" w:rsidR="00000000" w:rsidRPr="00000000">
        <w:rPr>
          <w:b w:val="1"/>
          <w:color w:val="0d0d0d"/>
          <w:sz w:val="20"/>
          <w:szCs w:val="20"/>
          <w:highlight w:val="white"/>
          <w:rtl w:val="0"/>
        </w:rPr>
        <w:t xml:space="preserve">leading position of the EMEA region</w:t>
      </w:r>
      <w:r w:rsidDel="00000000" w:rsidR="00000000" w:rsidRPr="00000000">
        <w:rPr>
          <w:color w:val="0d0d0d"/>
          <w:sz w:val="20"/>
          <w:szCs w:val="20"/>
          <w:highlight w:val="white"/>
          <w:rtl w:val="0"/>
        </w:rPr>
        <w:t xml:space="preserve">, although its dominance is slightly decreasing over time. Conversely, there's a noticeable growth in the APAC markets, with the Rest of APAC showing a steady increase and Mainland China, Hong Kong, and Taiwan emerging as the second-largest market in 2023. The Americas region shows a gradual decrease in its share of unit shipments each year.</w:t>
      </w:r>
      <w:r w:rsidDel="00000000" w:rsidR="00000000" w:rsidRPr="00000000">
        <w:rPr>
          <w:rtl w:val="0"/>
        </w:rPr>
      </w:r>
    </w:p>
    <w:p w:rsidR="00000000" w:rsidDel="00000000" w:rsidP="00000000" w:rsidRDefault="00000000" w:rsidRPr="00000000" w14:paraId="00000022">
      <w:pPr>
        <w:spacing w:after="0" w:lineRule="auto"/>
        <w:rPr>
          <w:sz w:val="20"/>
          <w:szCs w:val="20"/>
        </w:rPr>
      </w:pPr>
      <w:r w:rsidDel="00000000" w:rsidR="00000000" w:rsidRPr="00000000">
        <w:rPr>
          <w:sz w:val="20"/>
          <w:szCs w:val="20"/>
          <w:rtl w:val="0"/>
        </w:rPr>
        <w:t xml:space="preserve">Total Shipments: In 2023, Ferrari shipped 13,663 units, marking a 3.3% increase compared to the previous year. The growth was driven primarily by the introduction of new models and increased demand in key markets.</w:t>
      </w:r>
    </w:p>
    <w:p w:rsidR="00000000" w:rsidDel="00000000" w:rsidP="00000000" w:rsidRDefault="00000000" w:rsidRPr="00000000" w14:paraId="00000023">
      <w:pPr>
        <w:numPr>
          <w:ilvl w:val="0"/>
          <w:numId w:val="5"/>
        </w:numPr>
        <w:spacing w:after="0" w:afterAutospacing="0" w:before="240" w:lineRule="auto"/>
        <w:ind w:left="720" w:hanging="360"/>
        <w:rPr>
          <w:sz w:val="20"/>
          <w:szCs w:val="20"/>
        </w:rPr>
      </w:pPr>
      <w:r w:rsidDel="00000000" w:rsidR="00000000" w:rsidRPr="00000000">
        <w:rPr>
          <w:sz w:val="20"/>
          <w:szCs w:val="20"/>
          <w:rtl w:val="0"/>
        </w:rPr>
        <w:t xml:space="preserve">EMEA Region: Shipments increased by 1.8%.</w:t>
      </w:r>
    </w:p>
    <w:p w:rsidR="00000000" w:rsidDel="00000000" w:rsidP="00000000" w:rsidRDefault="00000000" w:rsidRPr="00000000" w14:paraId="00000024">
      <w:pPr>
        <w:numPr>
          <w:ilvl w:val="0"/>
          <w:numId w:val="5"/>
        </w:numPr>
        <w:spacing w:after="0" w:afterAutospacing="0" w:before="0" w:beforeAutospacing="0" w:lineRule="auto"/>
        <w:ind w:left="720" w:hanging="360"/>
        <w:rPr>
          <w:sz w:val="20"/>
          <w:szCs w:val="20"/>
        </w:rPr>
      </w:pPr>
      <w:r w:rsidDel="00000000" w:rsidR="00000000" w:rsidRPr="00000000">
        <w:rPr>
          <w:sz w:val="20"/>
          <w:szCs w:val="20"/>
          <w:rtl w:val="0"/>
        </w:rPr>
        <w:t xml:space="preserve">Americas: Shipments rose by 10.6%.</w:t>
      </w:r>
    </w:p>
    <w:p w:rsidR="00000000" w:rsidDel="00000000" w:rsidP="00000000" w:rsidRDefault="00000000" w:rsidRPr="00000000" w14:paraId="00000025">
      <w:pPr>
        <w:numPr>
          <w:ilvl w:val="0"/>
          <w:numId w:val="5"/>
        </w:numPr>
        <w:spacing w:after="0" w:afterAutospacing="0" w:before="0" w:beforeAutospacing="0" w:lineRule="auto"/>
        <w:ind w:left="720" w:hanging="360"/>
        <w:rPr>
          <w:sz w:val="20"/>
          <w:szCs w:val="20"/>
        </w:rPr>
      </w:pPr>
      <w:r w:rsidDel="00000000" w:rsidR="00000000" w:rsidRPr="00000000">
        <w:rPr>
          <w:sz w:val="20"/>
          <w:szCs w:val="20"/>
          <w:rtl w:val="0"/>
        </w:rPr>
        <w:t xml:space="preserve">Mainland China, Hong Kong, and Taiwan: Shipments decreased slightly.</w:t>
      </w:r>
    </w:p>
    <w:p w:rsidR="00000000" w:rsidDel="00000000" w:rsidP="00000000" w:rsidRDefault="00000000" w:rsidRPr="00000000" w14:paraId="00000026">
      <w:pPr>
        <w:numPr>
          <w:ilvl w:val="0"/>
          <w:numId w:val="5"/>
        </w:numPr>
        <w:spacing w:after="240" w:before="0" w:beforeAutospacing="0" w:lineRule="auto"/>
        <w:ind w:left="720" w:hanging="360"/>
        <w:rPr>
          <w:sz w:val="20"/>
          <w:szCs w:val="20"/>
        </w:rPr>
      </w:pPr>
      <w:r w:rsidDel="00000000" w:rsidR="00000000" w:rsidRPr="00000000">
        <w:rPr>
          <w:sz w:val="20"/>
          <w:szCs w:val="20"/>
          <w:rtl w:val="0"/>
        </w:rPr>
        <w:t xml:space="preserve">Rest of APAC: Shipments remained relatively flat.</w:t>
      </w:r>
    </w:p>
    <w:p w:rsidR="00000000" w:rsidDel="00000000" w:rsidP="00000000" w:rsidRDefault="00000000" w:rsidRPr="00000000" w14:paraId="00000027">
      <w:pPr>
        <w:spacing w:after="0" w:lineRule="auto"/>
        <w:rPr>
          <w:sz w:val="20"/>
          <w:szCs w:val="20"/>
        </w:rPr>
      </w:pPr>
      <w:r w:rsidDel="00000000" w:rsidR="00000000" w:rsidRPr="00000000">
        <w:rPr>
          <w:sz w:val="20"/>
          <w:szCs w:val="20"/>
          <w:rtl w:val="0"/>
        </w:rPr>
        <w:t xml:space="preserve">Revenue by Segment:</w:t>
      </w:r>
    </w:p>
    <w:p w:rsidR="00000000" w:rsidDel="00000000" w:rsidP="00000000" w:rsidRDefault="00000000" w:rsidRPr="00000000" w14:paraId="00000028">
      <w:pPr>
        <w:numPr>
          <w:ilvl w:val="0"/>
          <w:numId w:val="8"/>
        </w:numPr>
        <w:spacing w:after="0" w:afterAutospacing="0" w:before="240" w:lineRule="auto"/>
        <w:ind w:left="720" w:hanging="360"/>
        <w:rPr>
          <w:sz w:val="20"/>
          <w:szCs w:val="20"/>
        </w:rPr>
      </w:pPr>
      <w:r w:rsidDel="00000000" w:rsidR="00000000" w:rsidRPr="00000000">
        <w:rPr>
          <w:sz w:val="20"/>
          <w:szCs w:val="20"/>
          <w:rtl w:val="0"/>
        </w:rPr>
        <w:t xml:space="preserve">Cars and Spare Parts: Generated €5,119 million, up 18.5% from the previous year, benefiting from a richer product mix, increased personalization, and higher pricing.</w:t>
      </w:r>
    </w:p>
    <w:p w:rsidR="00000000" w:rsidDel="00000000" w:rsidP="00000000" w:rsidRDefault="00000000" w:rsidRPr="00000000" w14:paraId="00000029">
      <w:pPr>
        <w:numPr>
          <w:ilvl w:val="0"/>
          <w:numId w:val="8"/>
        </w:numPr>
        <w:spacing w:after="0" w:afterAutospacing="0" w:before="0" w:beforeAutospacing="0" w:lineRule="auto"/>
        <w:ind w:left="720" w:hanging="360"/>
        <w:rPr>
          <w:sz w:val="20"/>
          <w:szCs w:val="20"/>
        </w:rPr>
      </w:pPr>
      <w:r w:rsidDel="00000000" w:rsidR="00000000" w:rsidRPr="00000000">
        <w:rPr>
          <w:sz w:val="20"/>
          <w:szCs w:val="20"/>
          <w:rtl w:val="0"/>
        </w:rPr>
        <w:t xml:space="preserve">Sponsorship, Commercial, and Brand: Generated €572 million, a 14.6% increase, driven by new sponsorships, higher Formula 1 revenues, and enhanced lifestyle activities.</w:t>
      </w:r>
    </w:p>
    <w:p w:rsidR="00000000" w:rsidDel="00000000" w:rsidP="00000000" w:rsidRDefault="00000000" w:rsidRPr="00000000" w14:paraId="0000002A">
      <w:pPr>
        <w:numPr>
          <w:ilvl w:val="0"/>
          <w:numId w:val="8"/>
        </w:numPr>
        <w:spacing w:after="240" w:before="0" w:beforeAutospacing="0" w:lineRule="auto"/>
        <w:ind w:left="720" w:hanging="360"/>
        <w:rPr>
          <w:sz w:val="20"/>
          <w:szCs w:val="20"/>
        </w:rPr>
      </w:pPr>
      <w:r w:rsidDel="00000000" w:rsidR="00000000" w:rsidRPr="00000000">
        <w:rPr>
          <w:sz w:val="20"/>
          <w:szCs w:val="20"/>
          <w:rtl w:val="0"/>
        </w:rPr>
        <w:t xml:space="preserve">Engines: Generated €127 million, down 18.4%, due to the expiration of a contract with Maserati.</w:t>
      </w:r>
      <w:r w:rsidDel="00000000" w:rsidR="00000000" w:rsidRPr="00000000">
        <w:rPr>
          <w:rtl w:val="0"/>
        </w:rPr>
      </w:r>
    </w:p>
    <w:p w:rsidR="00000000" w:rsidDel="00000000" w:rsidP="00000000" w:rsidRDefault="00000000" w:rsidRPr="00000000" w14:paraId="0000002B">
      <w:pPr>
        <w:spacing w:after="0" w:lineRule="auto"/>
        <w:ind w:left="720" w:firstLine="0"/>
        <w:rPr>
          <w:b w:val="1"/>
          <w:sz w:val="20"/>
          <w:szCs w:val="20"/>
        </w:rPr>
      </w:pPr>
      <w:r w:rsidDel="00000000" w:rsidR="00000000" w:rsidRPr="00000000">
        <w:rPr>
          <w:rtl w:val="0"/>
        </w:rPr>
      </w:r>
    </w:p>
    <w:p w:rsidR="00000000" w:rsidDel="00000000" w:rsidP="00000000" w:rsidRDefault="00000000" w:rsidRPr="00000000" w14:paraId="0000002C">
      <w:pPr>
        <w:spacing w:after="0" w:lineRule="auto"/>
        <w:rPr>
          <w:b w:val="1"/>
          <w:sz w:val="20"/>
          <w:szCs w:val="20"/>
          <w:u w:val="single"/>
        </w:rPr>
      </w:pPr>
      <w:r w:rsidDel="00000000" w:rsidR="00000000" w:rsidRPr="00000000">
        <w:rPr>
          <w:b w:val="1"/>
          <w:sz w:val="20"/>
          <w:szCs w:val="20"/>
          <w:u w:val="single"/>
          <w:rtl w:val="0"/>
        </w:rPr>
        <w:t xml:space="preserve">COMPANY SPECIFIC POSITIVES</w:t>
      </w:r>
      <w:r w:rsidDel="00000000" w:rsidR="00000000" w:rsidRPr="00000000">
        <w:rPr>
          <w:rtl w:val="0"/>
        </w:rPr>
      </w:r>
    </w:p>
    <w:p w:rsidR="00000000" w:rsidDel="00000000" w:rsidP="00000000" w:rsidRDefault="00000000" w:rsidRPr="00000000" w14:paraId="0000002D">
      <w:pPr>
        <w:numPr>
          <w:ilvl w:val="0"/>
          <w:numId w:val="1"/>
        </w:numPr>
        <w:spacing w:after="0" w:lineRule="auto"/>
        <w:ind w:left="720" w:hanging="360"/>
        <w:rPr>
          <w:sz w:val="20"/>
          <w:szCs w:val="20"/>
          <w:u w:val="none"/>
        </w:rPr>
      </w:pPr>
      <w:r w:rsidDel="00000000" w:rsidR="00000000" w:rsidRPr="00000000">
        <w:rPr>
          <w:b w:val="1"/>
          <w:sz w:val="20"/>
          <w:szCs w:val="20"/>
          <w:rtl w:val="0"/>
        </w:rPr>
        <w:t xml:space="preserve">High residual value makes Ferrari an investment.</w:t>
      </w:r>
      <w:r w:rsidDel="00000000" w:rsidR="00000000" w:rsidRPr="00000000">
        <w:rPr>
          <w:sz w:val="20"/>
          <w:szCs w:val="20"/>
          <w:rtl w:val="0"/>
        </w:rPr>
        <w:t xml:space="preserve"> </w:t>
      </w:r>
    </w:p>
    <w:p w:rsidR="00000000" w:rsidDel="00000000" w:rsidP="00000000" w:rsidRDefault="00000000" w:rsidRPr="00000000" w14:paraId="0000002E">
      <w:pPr>
        <w:numPr>
          <w:ilvl w:val="0"/>
          <w:numId w:val="2"/>
        </w:numPr>
        <w:spacing w:line="301.09090909090907" w:lineRule="auto"/>
        <w:ind w:left="1440" w:hanging="360"/>
        <w:rPr>
          <w:sz w:val="20"/>
          <w:szCs w:val="20"/>
          <w:u w:val="none"/>
        </w:rPr>
      </w:pPr>
      <w:r w:rsidDel="00000000" w:rsidR="00000000" w:rsidRPr="00000000">
        <w:rPr>
          <w:sz w:val="20"/>
          <w:szCs w:val="20"/>
          <w:rtl w:val="0"/>
        </w:rPr>
        <w:t xml:space="preserve">Ferrari's customer loyalty program effectively enhances brand exclusivity and customer retention, crucial in maintaining strong demand. Unlike typical luxury vehicles, Ferraris often appreciate in value. A STIFEL report highlights that a used Ferrari can command prices approximately 20% higher than its original sale price, with specific hypercar models like the 1985 Ferrari 288 GTO appreciating by about 2700% over time, or roughly 9% annually.</w:t>
      </w:r>
      <w:r w:rsidDel="00000000" w:rsidR="00000000" w:rsidRPr="00000000">
        <w:rPr>
          <w:sz w:val="20"/>
          <w:szCs w:val="20"/>
          <w:vertAlign w:val="superscript"/>
        </w:rPr>
        <w:footnoteReference w:customMarkFollows="0" w:id="0"/>
      </w:r>
      <w:r w:rsidDel="00000000" w:rsidR="00000000" w:rsidRPr="00000000">
        <w:rPr>
          <w:sz w:val="20"/>
          <w:szCs w:val="20"/>
          <w:rtl w:val="0"/>
        </w:rPr>
        <w:t xml:space="preserve">  Ferrari’s meticulous customer loyalty program and strict ownership prerequisites for purchasing elite models further bolster the brand's exclusivity and residual value. To be eligible to purchase a hypercar model, one needs to own several “entry-level” models and pass a background check by Ferrari, supporting Ferrari’s high residual value in the second-hand market.</w:t>
      </w:r>
    </w:p>
    <w:p w:rsidR="00000000" w:rsidDel="00000000" w:rsidP="00000000" w:rsidRDefault="00000000" w:rsidRPr="00000000" w14:paraId="0000002F">
      <w:pPr>
        <w:spacing w:line="301.09090909090907" w:lineRule="auto"/>
        <w:ind w:left="0" w:firstLine="0"/>
        <w:jc w:val="center"/>
        <w:rPr>
          <w:b w:val="1"/>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 Figure 1: Used car prices as % of new car revenues per car: Aston Martins are for rich people, Ferraris are for investors</w:t>
      </w:r>
    </w:p>
    <w:p w:rsidR="00000000" w:rsidDel="00000000" w:rsidP="00000000" w:rsidRDefault="00000000" w:rsidRPr="00000000" w14:paraId="00000030">
      <w:pPr>
        <w:spacing w:line="301.09090909090907" w:lineRule="auto"/>
        <w:jc w:val="center"/>
        <w:rPr>
          <w:b w:val="1"/>
          <w:sz w:val="20"/>
          <w:szCs w:val="20"/>
          <w:u w:val="single"/>
        </w:rPr>
      </w:pPr>
      <w:r w:rsidDel="00000000" w:rsidR="00000000" w:rsidRPr="00000000">
        <w:rPr>
          <w:b w:val="1"/>
          <w:sz w:val="20"/>
          <w:szCs w:val="20"/>
          <w:u w:val="single"/>
        </w:rPr>
        <w:drawing>
          <wp:inline distB="114300" distT="114300" distL="114300" distR="114300">
            <wp:extent cx="6496050" cy="2328363"/>
            <wp:effectExtent b="0" l="0" r="0" t="0"/>
            <wp:docPr id="4" name="image2.png"/>
            <a:graphic>
              <a:graphicData uri="http://schemas.openxmlformats.org/drawingml/2006/picture">
                <pic:pic>
                  <pic:nvPicPr>
                    <pic:cNvPr id="0" name="image2.png"/>
                    <pic:cNvPicPr preferRelativeResize="0"/>
                  </pic:nvPicPr>
                  <pic:blipFill>
                    <a:blip r:embed="rId11"/>
                    <a:srcRect b="0" l="0" r="0" t="7406"/>
                    <a:stretch>
                      <a:fillRect/>
                    </a:stretch>
                  </pic:blipFill>
                  <pic:spPr>
                    <a:xfrm>
                      <a:off x="0" y="0"/>
                      <a:ext cx="6496050" cy="2328363"/>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numPr>
          <w:ilvl w:val="0"/>
          <w:numId w:val="6"/>
        </w:numPr>
        <w:spacing w:after="0" w:afterAutospacing="0" w:line="301.09090909090907" w:lineRule="auto"/>
        <w:ind w:left="720" w:hanging="360"/>
        <w:rPr>
          <w:sz w:val="20"/>
          <w:szCs w:val="20"/>
          <w:u w:val="none"/>
        </w:rPr>
      </w:pPr>
      <w:r w:rsidDel="00000000" w:rsidR="00000000" w:rsidRPr="00000000">
        <w:rPr>
          <w:b w:val="1"/>
          <w:sz w:val="20"/>
          <w:szCs w:val="20"/>
          <w:rtl w:val="0"/>
        </w:rPr>
        <w:t xml:space="preserve">Ferrari has predictable and promising earnings </w:t>
      </w:r>
      <w:r w:rsidDel="00000000" w:rsidR="00000000" w:rsidRPr="00000000">
        <w:rPr>
          <w:rtl w:val="0"/>
        </w:rPr>
      </w:r>
    </w:p>
    <w:p w:rsidR="00000000" w:rsidDel="00000000" w:rsidP="00000000" w:rsidRDefault="00000000" w:rsidRPr="00000000" w14:paraId="00000032">
      <w:pPr>
        <w:numPr>
          <w:ilvl w:val="1"/>
          <w:numId w:val="6"/>
        </w:numPr>
        <w:spacing w:after="0" w:afterAutospacing="0" w:line="301.09090909090907" w:lineRule="auto"/>
        <w:ind w:left="1440" w:hanging="360"/>
        <w:rPr>
          <w:sz w:val="20"/>
          <w:szCs w:val="20"/>
          <w:u w:val="none"/>
        </w:rPr>
      </w:pPr>
      <w:r w:rsidDel="00000000" w:rsidR="00000000" w:rsidRPr="00000000">
        <w:rPr>
          <w:sz w:val="20"/>
          <w:szCs w:val="20"/>
          <w:rtl w:val="0"/>
        </w:rPr>
        <w:t xml:space="preserve">Ferrari consistently demonstrates robust financial health, driven by strong demand leading to sold-out models through 2026.</w:t>
      </w:r>
      <w:r w:rsidDel="00000000" w:rsidR="00000000" w:rsidRPr="00000000">
        <w:rPr>
          <w:sz w:val="20"/>
          <w:szCs w:val="20"/>
          <w:vertAlign w:val="superscript"/>
        </w:rPr>
        <w:footnoteReference w:customMarkFollows="0" w:id="1"/>
      </w:r>
      <w:r w:rsidDel="00000000" w:rsidR="00000000" w:rsidRPr="00000000">
        <w:rPr>
          <w:sz w:val="20"/>
          <w:szCs w:val="20"/>
          <w:rtl w:val="0"/>
        </w:rPr>
        <w:t xml:space="preserve"> Even during economic downturns, Ferrari maintains stable sales, unlike competitors such as Aston Martin and Bentley. This demand is partially driven by high resale values, which justifies a high multiple. However, there is a concern surrounding the lower residual values of SUVs and BEVs compared to classic sports cars. From the supply side, Ferrari's focus on limited production volumes ensures that demand consistently outstrips supply. The brand's strategic production cap at its Maranello plant—13,000 units, expandable to 15,000 with additional shifts—maintains a balance between exclusivity and scalability, keeping CAPEX low and earnings predictable.</w:t>
      </w:r>
      <w:r w:rsidDel="00000000" w:rsidR="00000000" w:rsidRPr="00000000">
        <w:rPr>
          <w:sz w:val="20"/>
          <w:szCs w:val="20"/>
          <w:vertAlign w:val="superscript"/>
        </w:rPr>
        <w:footnoteReference w:customMarkFollows="0" w:id="2"/>
      </w:r>
      <w:r w:rsidDel="00000000" w:rsidR="00000000" w:rsidRPr="00000000">
        <w:rPr>
          <w:rtl w:val="0"/>
        </w:rPr>
      </w:r>
    </w:p>
    <w:p w:rsidR="00000000" w:rsidDel="00000000" w:rsidP="00000000" w:rsidRDefault="00000000" w:rsidRPr="00000000" w14:paraId="00000033">
      <w:pPr>
        <w:numPr>
          <w:ilvl w:val="0"/>
          <w:numId w:val="9"/>
        </w:numPr>
        <w:spacing w:after="0" w:afterAutospacing="0" w:line="301.09090909090907" w:lineRule="auto"/>
        <w:ind w:left="720" w:hanging="360"/>
        <w:rPr>
          <w:sz w:val="20"/>
          <w:szCs w:val="20"/>
          <w:u w:val="none"/>
        </w:rPr>
      </w:pPr>
      <w:r w:rsidDel="00000000" w:rsidR="00000000" w:rsidRPr="00000000">
        <w:rPr>
          <w:b w:val="1"/>
          <w:sz w:val="20"/>
          <w:szCs w:val="20"/>
          <w:rtl w:val="0"/>
        </w:rPr>
        <w:t xml:space="preserve">Ferrari's enduring legacy in Formula 1 racing enhances its brand prestige and drives economic gains.</w:t>
      </w:r>
      <w:r w:rsidDel="00000000" w:rsidR="00000000" w:rsidRPr="00000000">
        <w:rPr>
          <w:b w:val="1"/>
          <w:sz w:val="18"/>
          <w:szCs w:val="18"/>
          <w:rtl w:val="0"/>
        </w:rPr>
        <w:t xml:space="preserve"> </w:t>
      </w:r>
      <w:r w:rsidDel="00000000" w:rsidR="00000000" w:rsidRPr="00000000">
        <w:rPr>
          <w:b w:val="1"/>
          <w:sz w:val="20"/>
          <w:szCs w:val="20"/>
          <w:rtl w:val="0"/>
        </w:rPr>
        <w:t xml:space="preserve"> </w:t>
      </w:r>
    </w:p>
    <w:p w:rsidR="00000000" w:rsidDel="00000000" w:rsidP="00000000" w:rsidRDefault="00000000" w:rsidRPr="00000000" w14:paraId="00000034">
      <w:pPr>
        <w:numPr>
          <w:ilvl w:val="1"/>
          <w:numId w:val="9"/>
        </w:numPr>
        <w:spacing w:after="0" w:afterAutospacing="0" w:line="301.09090909090907" w:lineRule="auto"/>
        <w:ind w:left="1440" w:hanging="360"/>
        <w:rPr>
          <w:sz w:val="20"/>
          <w:szCs w:val="20"/>
          <w:u w:val="none"/>
        </w:rPr>
      </w:pPr>
      <w:r w:rsidDel="00000000" w:rsidR="00000000" w:rsidRPr="00000000">
        <w:rPr>
          <w:sz w:val="20"/>
          <w:szCs w:val="20"/>
          <w:rtl w:val="0"/>
        </w:rPr>
        <w:t xml:space="preserve">Ferrari’s enduring engagement in Formula 1 since its inception in 1950 significantly boosts the brand's distinct identity and exclusivity. This long-standing participation not only underscores their racing DNA but has also been pivotal in enhancing brand recognition and customer retention, which are vital for sustaining strong demand. The brand's consistent presence in this premier racing series enhances global recognition and contributes materially to its revenue streams—9.6% of net revenue in FY23 came from F1-related activities (sponsorship, commercial activities, and brand-related initiatives), marking a 14.6% increase from FY22.</w:t>
      </w:r>
      <w:r w:rsidDel="00000000" w:rsidR="00000000" w:rsidRPr="00000000">
        <w:rPr>
          <w:sz w:val="20"/>
          <w:szCs w:val="20"/>
          <w:vertAlign w:val="superscript"/>
        </w:rPr>
        <w:footnoteReference w:customMarkFollows="0" w:id="3"/>
      </w:r>
      <w:r w:rsidDel="00000000" w:rsidR="00000000" w:rsidRPr="00000000">
        <w:rPr>
          <w:sz w:val="20"/>
          <w:szCs w:val="20"/>
          <w:rtl w:val="0"/>
        </w:rPr>
        <w:t xml:space="preserve"> This growth is largely fueled by Formula 1, where Ferrari garners revenue through team sponsorships, F1 prize money from the sport's commercial rights holder, and a unique fixed bonus awarded for their consistent participation in the racing series. </w:t>
      </w:r>
    </w:p>
    <w:p w:rsidR="00000000" w:rsidDel="00000000" w:rsidP="00000000" w:rsidRDefault="00000000" w:rsidRPr="00000000" w14:paraId="00000035">
      <w:pPr>
        <w:numPr>
          <w:ilvl w:val="1"/>
          <w:numId w:val="9"/>
        </w:numPr>
        <w:spacing w:after="0" w:afterAutospacing="0" w:line="301.09090909090907" w:lineRule="auto"/>
        <w:ind w:left="1440" w:hanging="360"/>
        <w:rPr>
          <w:sz w:val="20"/>
          <w:szCs w:val="20"/>
          <w:u w:val="none"/>
        </w:rPr>
      </w:pPr>
      <w:r w:rsidDel="00000000" w:rsidR="00000000" w:rsidRPr="00000000">
        <w:rPr>
          <w:sz w:val="20"/>
          <w:szCs w:val="20"/>
          <w:rtl w:val="0"/>
        </w:rPr>
        <w:t xml:space="preserve">The growing global popularity of F1, propelled by media developments like Netflix’s 'Drive to Survive', continues to enhance Ferrari's financial gains from the sport- a 30% annual growth in media rights revenue from FY21 to FY23.</w:t>
      </w:r>
      <w:r w:rsidDel="00000000" w:rsidR="00000000" w:rsidRPr="00000000">
        <w:rPr>
          <w:sz w:val="20"/>
          <w:szCs w:val="20"/>
          <w:vertAlign w:val="superscript"/>
        </w:rPr>
        <w:footnoteReference w:customMarkFollows="0" w:id="4"/>
      </w:r>
      <w:r w:rsidDel="00000000" w:rsidR="00000000" w:rsidRPr="00000000">
        <w:rPr>
          <w:sz w:val="20"/>
          <w:szCs w:val="20"/>
          <w:rtl w:val="0"/>
        </w:rPr>
        <w:t xml:space="preserve"> With the strategic acquisition of seven-time F1 world champion Lewis Hamilton for the 2025 season, Ferrari is well-positioned to leverage the media landscape, potentially increasing its sponsorship and prize money revenue significantly.</w:t>
      </w:r>
      <w:r w:rsidDel="00000000" w:rsidR="00000000" w:rsidRPr="00000000">
        <w:rPr>
          <w:rtl w:val="0"/>
        </w:rPr>
      </w:r>
    </w:p>
    <w:p w:rsidR="00000000" w:rsidDel="00000000" w:rsidP="00000000" w:rsidRDefault="00000000" w:rsidRPr="00000000" w14:paraId="00000036">
      <w:pPr>
        <w:numPr>
          <w:ilvl w:val="0"/>
          <w:numId w:val="7"/>
        </w:numPr>
        <w:spacing w:after="0" w:afterAutospacing="0" w:line="301.09090909090907" w:lineRule="auto"/>
        <w:ind w:left="720" w:hanging="360"/>
        <w:rPr>
          <w:b w:val="1"/>
          <w:sz w:val="20"/>
          <w:szCs w:val="20"/>
          <w:u w:val="none"/>
        </w:rPr>
      </w:pPr>
      <w:r w:rsidDel="00000000" w:rsidR="00000000" w:rsidRPr="00000000">
        <w:rPr>
          <w:b w:val="1"/>
          <w:sz w:val="20"/>
          <w:szCs w:val="20"/>
          <w:rtl w:val="0"/>
        </w:rPr>
        <w:t xml:space="preserve">Prudent capital return policy.</w:t>
      </w:r>
    </w:p>
    <w:p w:rsidR="00000000" w:rsidDel="00000000" w:rsidP="00000000" w:rsidRDefault="00000000" w:rsidRPr="00000000" w14:paraId="00000037">
      <w:pPr>
        <w:numPr>
          <w:ilvl w:val="1"/>
          <w:numId w:val="7"/>
        </w:numPr>
        <w:spacing w:line="301.09090909090907" w:lineRule="auto"/>
        <w:ind w:left="1440" w:hanging="360"/>
        <w:rPr>
          <w:sz w:val="20"/>
          <w:szCs w:val="20"/>
        </w:rPr>
      </w:pPr>
      <w:r w:rsidDel="00000000" w:rsidR="00000000" w:rsidRPr="00000000">
        <w:rPr>
          <w:sz w:val="20"/>
          <w:szCs w:val="20"/>
          <w:rtl w:val="0"/>
        </w:rPr>
        <w:t xml:space="preserve">Ferrari currently distributes its FCF in a 50/50 split between dividends and buybacks (€2B for each) and the latest buyback event was from July 1, 2022, to April 12, 2024. Ferrari's balanced approach to dividend distribution and share buybacks reflects a strong capital return policy, catering to both European preferences for dividends and the U.S. investor inclination towards buybacks, thereby appealing to a global investor base. </w:t>
      </w:r>
      <w:r w:rsidDel="00000000" w:rsidR="00000000" w:rsidRPr="00000000">
        <w:rPr>
          <w:rtl w:val="0"/>
        </w:rPr>
      </w:r>
    </w:p>
    <w:p w:rsidR="00000000" w:rsidDel="00000000" w:rsidP="00000000" w:rsidRDefault="00000000" w:rsidRPr="00000000" w14:paraId="00000038">
      <w:pPr>
        <w:spacing w:after="0" w:lineRule="auto"/>
        <w:rPr>
          <w:b w:val="1"/>
          <w:sz w:val="20"/>
          <w:szCs w:val="20"/>
          <w:u w:val="single"/>
        </w:rPr>
      </w:pPr>
      <w:r w:rsidDel="00000000" w:rsidR="00000000" w:rsidRPr="00000000">
        <w:rPr>
          <w:b w:val="1"/>
          <w:sz w:val="20"/>
          <w:szCs w:val="20"/>
          <w:u w:val="single"/>
          <w:rtl w:val="0"/>
        </w:rPr>
        <w:t xml:space="preserve">COMPANY SPECIFIC RISKS</w:t>
      </w:r>
    </w:p>
    <w:p w:rsidR="00000000" w:rsidDel="00000000" w:rsidP="00000000" w:rsidRDefault="00000000" w:rsidRPr="00000000" w14:paraId="00000039">
      <w:pPr>
        <w:numPr>
          <w:ilvl w:val="0"/>
          <w:numId w:val="11"/>
        </w:numPr>
        <w:spacing w:after="0" w:lineRule="auto"/>
        <w:ind w:left="720" w:hanging="360"/>
        <w:rPr>
          <w:rFonts w:ascii="Calibri" w:cs="Calibri" w:eastAsia="Calibri" w:hAnsi="Calibri"/>
          <w:sz w:val="20"/>
          <w:szCs w:val="20"/>
        </w:rPr>
      </w:pPr>
      <w:r w:rsidDel="00000000" w:rsidR="00000000" w:rsidRPr="00000000">
        <w:rPr>
          <w:b w:val="1"/>
          <w:sz w:val="20"/>
          <w:szCs w:val="20"/>
          <w:rtl w:val="0"/>
        </w:rPr>
        <w:t xml:space="preserve">Challenges in the transition to Electric Vehicles(EVs).</w:t>
      </w:r>
      <w:r w:rsidDel="00000000" w:rsidR="00000000" w:rsidRPr="00000000">
        <w:rPr>
          <w:rtl w:val="0"/>
        </w:rPr>
      </w:r>
    </w:p>
    <w:p w:rsidR="00000000" w:rsidDel="00000000" w:rsidP="00000000" w:rsidRDefault="00000000" w:rsidRPr="00000000" w14:paraId="0000003A">
      <w:pPr>
        <w:numPr>
          <w:ilvl w:val="1"/>
          <w:numId w:val="11"/>
        </w:numPr>
        <w:spacing w:after="0" w:lineRule="auto"/>
        <w:ind w:left="1440" w:hanging="360"/>
        <w:rPr>
          <w:sz w:val="20"/>
          <w:szCs w:val="20"/>
        </w:rPr>
      </w:pPr>
      <w:r w:rsidDel="00000000" w:rsidR="00000000" w:rsidRPr="00000000">
        <w:rPr>
          <w:b w:val="1"/>
          <w:sz w:val="20"/>
          <w:szCs w:val="20"/>
          <w:rtl w:val="0"/>
        </w:rPr>
        <w:t xml:space="preserve">Consumer acceptance and weaker demand risks</w:t>
      </w:r>
      <w:r w:rsidDel="00000000" w:rsidR="00000000" w:rsidRPr="00000000">
        <w:rPr>
          <w:b w:val="1"/>
          <w:sz w:val="20"/>
          <w:szCs w:val="20"/>
          <w:rtl w:val="0"/>
        </w:rPr>
        <w:t xml:space="preserve">:</w:t>
      </w:r>
      <w:r w:rsidDel="00000000" w:rsidR="00000000" w:rsidRPr="00000000">
        <w:rPr>
          <w:sz w:val="20"/>
          <w:szCs w:val="20"/>
          <w:rtl w:val="0"/>
        </w:rPr>
        <w:t xml:space="preserve"> Ferrari's brand is associated with high-performance sports cars characterized by their distinctive engine sounds and driving experiences—attributes that might be compromised with electric vehicles or EVs. There's concern that traditional customers may not embrace this shift, potentially affecting brand loyalty and sales. A survey revealed that 65.5% of high-end sports car owners are unlikely to consider an electric sports car, with only 10% willing to pay a premium for an electric model over an ICE vehicle.</w:t>
      </w:r>
      <w:r w:rsidDel="00000000" w:rsidR="00000000" w:rsidRPr="00000000">
        <w:rPr>
          <w:sz w:val="20"/>
          <w:szCs w:val="20"/>
          <w:vertAlign w:val="superscript"/>
        </w:rPr>
        <w:footnoteReference w:customMarkFollows="0" w:id="5"/>
      </w:r>
      <w:r w:rsidDel="00000000" w:rsidR="00000000" w:rsidRPr="00000000">
        <w:rPr>
          <w:sz w:val="20"/>
          <w:szCs w:val="20"/>
          <w:rtl w:val="0"/>
        </w:rPr>
        <w:t xml:space="preserve"> </w:t>
      </w:r>
      <w:r w:rsidDel="00000000" w:rsidR="00000000" w:rsidRPr="00000000">
        <w:rPr>
          <w:sz w:val="20"/>
          <w:szCs w:val="20"/>
          <w:rtl w:val="0"/>
        </w:rPr>
        <w:t xml:space="preserve">The risk of weaker demand for electric Ferraris compared to traditional internal combustion engine (ICE) models could affect Ferrari's pricing power and future revenue streams as the automotive industry shifts towards electric vehicles. </w:t>
      </w:r>
      <w:r w:rsidDel="00000000" w:rsidR="00000000" w:rsidRPr="00000000">
        <w:rPr>
          <w:rtl w:val="0"/>
        </w:rPr>
      </w:r>
    </w:p>
    <w:p w:rsidR="00000000" w:rsidDel="00000000" w:rsidP="00000000" w:rsidRDefault="00000000" w:rsidRPr="00000000" w14:paraId="0000003B">
      <w:pPr>
        <w:spacing w:after="0" w:lineRule="auto"/>
        <w:ind w:left="1440" w:firstLine="0"/>
        <w:rPr>
          <w:color w:val="0000ff"/>
          <w:sz w:val="20"/>
          <w:szCs w:val="20"/>
        </w:rPr>
      </w:pPr>
      <w:r w:rsidDel="00000000" w:rsidR="00000000" w:rsidRPr="00000000">
        <w:rPr>
          <w:color w:val="0000ff"/>
          <w:sz w:val="20"/>
          <w:szCs w:val="20"/>
        </w:rPr>
        <w:drawing>
          <wp:inline distB="114300" distT="114300" distL="114300" distR="114300">
            <wp:extent cx="2540318" cy="1687337"/>
            <wp:effectExtent b="0" l="0" r="0" t="0"/>
            <wp:docPr id="12"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2540318" cy="1687337"/>
                    </a:xfrm>
                    <a:prstGeom prst="rect"/>
                    <a:ln/>
                  </pic:spPr>
                </pic:pic>
              </a:graphicData>
            </a:graphic>
          </wp:inline>
        </w:drawing>
      </w:r>
      <w:r w:rsidDel="00000000" w:rsidR="00000000" w:rsidRPr="00000000">
        <w:rPr>
          <w:color w:val="0000ff"/>
          <w:sz w:val="20"/>
          <w:szCs w:val="20"/>
        </w:rPr>
        <w:drawing>
          <wp:inline distB="114300" distT="114300" distL="114300" distR="114300">
            <wp:extent cx="2469832" cy="1709196"/>
            <wp:effectExtent b="0" l="0" r="0" t="0"/>
            <wp:docPr id="1"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2469832" cy="1709196"/>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numPr>
          <w:ilvl w:val="1"/>
          <w:numId w:val="11"/>
        </w:numPr>
        <w:spacing w:after="0" w:lineRule="auto"/>
        <w:ind w:left="1440" w:hanging="360"/>
        <w:rPr>
          <w:sz w:val="20"/>
          <w:szCs w:val="20"/>
        </w:rPr>
      </w:pPr>
      <w:r w:rsidDel="00000000" w:rsidR="00000000" w:rsidRPr="00000000">
        <w:rPr>
          <w:b w:val="1"/>
          <w:sz w:val="20"/>
          <w:szCs w:val="20"/>
          <w:rtl w:val="0"/>
        </w:rPr>
        <w:t xml:space="preserve">Residual Value Concerns: </w:t>
      </w:r>
      <w:r w:rsidDel="00000000" w:rsidR="00000000" w:rsidRPr="00000000">
        <w:rPr>
          <w:sz w:val="20"/>
          <w:szCs w:val="20"/>
          <w:rtl w:val="0"/>
        </w:rPr>
        <w:t xml:space="preserve">The transition to EVs risks Ferrari’s traditionally high residual values. EVs typically depreciate faster than ICE vehicles due to concerns about battery longevity and replacement costs. Additionally, rapid advancements in EV technology could make older models obsolete more quickly, potentially undermining Ferrari's reputation for enduring value in the luxury vehicle market where </w:t>
      </w:r>
      <w:r w:rsidDel="00000000" w:rsidR="00000000" w:rsidRPr="00000000">
        <w:rPr>
          <w:sz w:val="20"/>
          <w:szCs w:val="20"/>
          <w:rtl w:val="0"/>
        </w:rPr>
        <w:t xml:space="preserve">vehicles are often viewed as investments.</w:t>
      </w:r>
      <w:r w:rsidDel="00000000" w:rsidR="00000000" w:rsidRPr="00000000">
        <w:rPr>
          <w:rtl w:val="0"/>
        </w:rPr>
      </w:r>
    </w:p>
    <w:p w:rsidR="00000000" w:rsidDel="00000000" w:rsidP="00000000" w:rsidRDefault="00000000" w:rsidRPr="00000000" w14:paraId="0000003D">
      <w:pPr>
        <w:numPr>
          <w:ilvl w:val="0"/>
          <w:numId w:val="11"/>
        </w:numPr>
        <w:spacing w:after="0" w:lineRule="auto"/>
        <w:ind w:left="720" w:hanging="360"/>
        <w:rPr>
          <w:rFonts w:ascii="Calibri" w:cs="Calibri" w:eastAsia="Calibri" w:hAnsi="Calibri"/>
          <w:b w:val="1"/>
          <w:sz w:val="20"/>
          <w:szCs w:val="20"/>
        </w:rPr>
      </w:pPr>
      <w:r w:rsidDel="00000000" w:rsidR="00000000" w:rsidRPr="00000000">
        <w:rPr>
          <w:b w:val="1"/>
          <w:sz w:val="20"/>
          <w:szCs w:val="20"/>
          <w:rtl w:val="0"/>
        </w:rPr>
        <w:t xml:space="preserve">Regulatory risks related to emissions standards.</w:t>
      </w:r>
    </w:p>
    <w:p w:rsidR="00000000" w:rsidDel="00000000" w:rsidP="00000000" w:rsidRDefault="00000000" w:rsidRPr="00000000" w14:paraId="0000003E">
      <w:pPr>
        <w:numPr>
          <w:ilvl w:val="1"/>
          <w:numId w:val="11"/>
        </w:numPr>
        <w:spacing w:after="0" w:lineRule="auto"/>
        <w:ind w:left="1440" w:hanging="360"/>
        <w:rPr>
          <w:rFonts w:ascii="Calibri" w:cs="Calibri" w:eastAsia="Calibri" w:hAnsi="Calibri"/>
          <w:sz w:val="20"/>
          <w:szCs w:val="20"/>
        </w:rPr>
      </w:pPr>
      <w:r w:rsidDel="00000000" w:rsidR="00000000" w:rsidRPr="00000000">
        <w:rPr>
          <w:sz w:val="20"/>
          <w:szCs w:val="20"/>
          <w:rtl w:val="0"/>
        </w:rPr>
        <w:t xml:space="preserve">Ferrari faces significant regulatory risks related to emissions standards, particularly in key markets such as the United States, the European Union, and China. Ferrari's compliance with U.S. regulations, notably those enforced by the California Air Resources Board (CARB) and the Environmental Protection Agency (EPA), is crucial. California has set stringent greenhouse gas emissions standards, which Ferrari must meet independently even if they align with federal standards. Furthermore in Europe, the “Fit for 55” package aims for substantial CO2 reductions by 2030, presenting further compliance hurdles.</w:t>
      </w:r>
      <w:r w:rsidDel="00000000" w:rsidR="00000000" w:rsidRPr="00000000">
        <w:rPr>
          <w:sz w:val="20"/>
          <w:szCs w:val="20"/>
          <w:vertAlign w:val="superscript"/>
        </w:rPr>
        <w:footnoteReference w:customMarkFollows="0" w:id="6"/>
      </w:r>
      <w:r w:rsidDel="00000000" w:rsidR="00000000" w:rsidRPr="00000000">
        <w:rPr>
          <w:rtl w:val="0"/>
        </w:rPr>
      </w:r>
    </w:p>
    <w:p w:rsidR="00000000" w:rsidDel="00000000" w:rsidP="00000000" w:rsidRDefault="00000000" w:rsidRPr="00000000" w14:paraId="0000003F">
      <w:pPr>
        <w:numPr>
          <w:ilvl w:val="0"/>
          <w:numId w:val="11"/>
        </w:numPr>
        <w:spacing w:after="0" w:lineRule="auto"/>
        <w:ind w:left="720" w:hanging="360"/>
        <w:rPr>
          <w:b w:val="1"/>
          <w:sz w:val="20"/>
          <w:szCs w:val="20"/>
        </w:rPr>
      </w:pPr>
      <w:r w:rsidDel="00000000" w:rsidR="00000000" w:rsidRPr="00000000">
        <w:rPr>
          <w:b w:val="1"/>
          <w:sz w:val="20"/>
          <w:szCs w:val="20"/>
          <w:rtl w:val="0"/>
        </w:rPr>
        <w:t xml:space="preserve">Overproduction and dilution of exclusivity.</w:t>
      </w:r>
    </w:p>
    <w:p w:rsidR="00000000" w:rsidDel="00000000" w:rsidP="00000000" w:rsidRDefault="00000000" w:rsidRPr="00000000" w14:paraId="00000040">
      <w:pPr>
        <w:numPr>
          <w:ilvl w:val="1"/>
          <w:numId w:val="11"/>
        </w:numPr>
        <w:spacing w:after="0" w:lineRule="auto"/>
        <w:ind w:left="1440" w:hanging="360"/>
        <w:rPr>
          <w:sz w:val="20"/>
          <w:szCs w:val="20"/>
          <w:u w:val="none"/>
        </w:rPr>
      </w:pPr>
      <w:r w:rsidDel="00000000" w:rsidR="00000000" w:rsidRPr="00000000">
        <w:rPr>
          <w:sz w:val="20"/>
          <w:szCs w:val="20"/>
          <w:rtl w:val="0"/>
        </w:rPr>
        <w:t xml:space="preserve">Ferrari's limited supply has been crucial in maintaining its brand's exclusivity and luxury status. However, since 2014, Ferrari has increased its unit sales at a significantly faster rate compared to prior years, raising concerns about potential brand dilution. This rapid increase in sales volume was partly driven by the company's introduction of new models and strategies to boost profitability. Maintaining this balance is essential, as overproduction could compromise the exclusivity that Ferrari's clientele values. The company must navigate these challenges carefully to ensure that it meets demand without undermining its prestigious image.</w:t>
      </w:r>
      <w:r w:rsidDel="00000000" w:rsidR="00000000" w:rsidRPr="00000000">
        <w:rPr>
          <w:sz w:val="20"/>
          <w:szCs w:val="20"/>
          <w:vertAlign w:val="superscript"/>
        </w:rPr>
        <w:footnoteReference w:customMarkFollows="0" w:id="7"/>
      </w:r>
      <w:r w:rsidDel="00000000" w:rsidR="00000000" w:rsidRPr="00000000">
        <w:rPr>
          <w:rtl w:val="0"/>
        </w:rPr>
      </w:r>
    </w:p>
    <w:p w:rsidR="00000000" w:rsidDel="00000000" w:rsidP="00000000" w:rsidRDefault="00000000" w:rsidRPr="00000000" w14:paraId="00000041">
      <w:pPr>
        <w:spacing w:after="0" w:lineRule="auto"/>
        <w:ind w:left="0" w:firstLine="0"/>
        <w:rPr>
          <w:sz w:val="20"/>
          <w:szCs w:val="20"/>
        </w:rPr>
      </w:pPr>
      <w:r w:rsidDel="00000000" w:rsidR="00000000" w:rsidRPr="00000000">
        <w:rPr>
          <w:rtl w:val="0"/>
        </w:rPr>
      </w:r>
    </w:p>
    <w:p w:rsidR="00000000" w:rsidDel="00000000" w:rsidP="00000000" w:rsidRDefault="00000000" w:rsidRPr="00000000" w14:paraId="00000042">
      <w:pPr>
        <w:spacing w:after="0" w:lineRule="auto"/>
        <w:rPr>
          <w:b w:val="1"/>
          <w:sz w:val="20"/>
          <w:szCs w:val="20"/>
          <w:u w:val="single"/>
        </w:rPr>
      </w:pPr>
      <w:r w:rsidDel="00000000" w:rsidR="00000000" w:rsidRPr="00000000">
        <w:rPr>
          <w:rtl w:val="0"/>
        </w:rPr>
      </w:r>
    </w:p>
    <w:p w:rsidR="00000000" w:rsidDel="00000000" w:rsidP="00000000" w:rsidRDefault="00000000" w:rsidRPr="00000000" w14:paraId="00000043">
      <w:pPr>
        <w:spacing w:after="0" w:lineRule="auto"/>
        <w:rPr>
          <w:b w:val="1"/>
          <w:sz w:val="20"/>
          <w:szCs w:val="20"/>
          <w:u w:val="single"/>
        </w:rPr>
      </w:pPr>
      <w:r w:rsidDel="00000000" w:rsidR="00000000" w:rsidRPr="00000000">
        <w:rPr>
          <w:b w:val="1"/>
          <w:sz w:val="20"/>
          <w:szCs w:val="20"/>
          <w:u w:val="single"/>
          <w:rtl w:val="0"/>
        </w:rPr>
        <w:t xml:space="preserve">RETURNS ON CAPITAL &amp; CAPITAL ALLOCATION </w:t>
      </w:r>
    </w:p>
    <w:p w:rsidR="00000000" w:rsidDel="00000000" w:rsidP="00000000" w:rsidRDefault="00000000" w:rsidRPr="00000000" w14:paraId="00000044">
      <w:pPr>
        <w:numPr>
          <w:ilvl w:val="1"/>
          <w:numId w:val="11"/>
        </w:numPr>
        <w:spacing w:after="0" w:lineRule="auto"/>
        <w:ind w:left="1440" w:hanging="360"/>
        <w:rPr>
          <w:rFonts w:ascii="Calibri" w:cs="Calibri" w:eastAsia="Calibri" w:hAnsi="Calibri"/>
          <w:sz w:val="20"/>
          <w:szCs w:val="20"/>
        </w:rPr>
      </w:pPr>
      <w:r w:rsidDel="00000000" w:rsidR="00000000" w:rsidRPr="00000000">
        <w:rPr>
          <w:sz w:val="20"/>
          <w:szCs w:val="20"/>
          <w:u w:val="single"/>
          <w:rtl w:val="0"/>
        </w:rPr>
        <w:t xml:space="preserve">ROIC History</w:t>
      </w:r>
      <w:r w:rsidDel="00000000" w:rsidR="00000000" w:rsidRPr="00000000">
        <w:rPr>
          <w:sz w:val="20"/>
          <w:szCs w:val="20"/>
          <w:rtl w:val="0"/>
        </w:rPr>
        <w:t xml:space="preserve">: The ROIC has been consistently increasing from 2012 to 2023. This can be attributed to the increase in capital expenditures (CAPEX) initiated in 2019, focused on design, development, and production enhancements.</w:t>
      </w:r>
    </w:p>
    <w:p w:rsidR="00000000" w:rsidDel="00000000" w:rsidP="00000000" w:rsidRDefault="00000000" w:rsidRPr="00000000" w14:paraId="00000045">
      <w:pPr>
        <w:numPr>
          <w:ilvl w:val="1"/>
          <w:numId w:val="11"/>
        </w:numPr>
        <w:spacing w:after="0" w:lineRule="auto"/>
        <w:ind w:left="1440" w:hanging="360"/>
        <w:rPr>
          <w:rFonts w:ascii="Calibri" w:cs="Calibri" w:eastAsia="Calibri" w:hAnsi="Calibri"/>
          <w:sz w:val="20"/>
          <w:szCs w:val="20"/>
        </w:rPr>
      </w:pPr>
      <w:r w:rsidDel="00000000" w:rsidR="00000000" w:rsidRPr="00000000">
        <w:rPr>
          <w:sz w:val="20"/>
          <w:szCs w:val="20"/>
          <w:rtl w:val="0"/>
        </w:rPr>
        <w:t xml:space="preserve">The recent establishment of a 40,000 square-meter e-building facility in Maranello, Italy, signifies Ferrari's commitment to laying a solid production foundation for Battery Electric Vehicles (BEVs). This strategic move is expected to bolster Ferrari’s ROIC further as it adapts to evolving market demands in the automotive industry.</w:t>
      </w:r>
      <w:r w:rsidDel="00000000" w:rsidR="00000000" w:rsidRPr="00000000">
        <w:rPr>
          <w:sz w:val="20"/>
          <w:szCs w:val="20"/>
          <w:vertAlign w:val="superscript"/>
        </w:rPr>
        <w:footnoteReference w:customMarkFollows="0" w:id="8"/>
      </w:r>
      <w:r w:rsidDel="00000000" w:rsidR="00000000" w:rsidRPr="00000000">
        <w:rPr>
          <w:rtl w:val="0"/>
        </w:rPr>
      </w:r>
    </w:p>
    <w:p w:rsidR="00000000" w:rsidDel="00000000" w:rsidP="00000000" w:rsidRDefault="00000000" w:rsidRPr="00000000" w14:paraId="00000046">
      <w:pPr>
        <w:spacing w:after="0" w:lineRule="auto"/>
        <w:ind w:left="720" w:firstLine="0"/>
        <w:jc w:val="center"/>
        <w:rPr>
          <w:sz w:val="20"/>
          <w:szCs w:val="20"/>
        </w:rPr>
      </w:pPr>
      <w:r w:rsidDel="00000000" w:rsidR="00000000" w:rsidRPr="00000000">
        <w:rPr>
          <w:sz w:val="20"/>
          <w:szCs w:val="20"/>
        </w:rPr>
        <w:drawing>
          <wp:inline distB="114300" distT="114300" distL="114300" distR="114300">
            <wp:extent cx="3966457" cy="2378369"/>
            <wp:effectExtent b="0" l="0" r="0" t="0"/>
            <wp:docPr id="2"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3966457" cy="2378369"/>
                    </a:xfrm>
                    <a:prstGeom prst="rect"/>
                    <a:ln/>
                  </pic:spPr>
                </pic:pic>
              </a:graphicData>
            </a:graphic>
          </wp:inline>
        </w:drawing>
      </w:r>
      <w:r w:rsidDel="00000000" w:rsidR="00000000" w:rsidRPr="00000000">
        <w:rPr>
          <w:sz w:val="20"/>
          <w:szCs w:val="20"/>
        </w:rPr>
        <w:drawing>
          <wp:inline distB="114300" distT="114300" distL="114300" distR="114300">
            <wp:extent cx="3984508" cy="2340108"/>
            <wp:effectExtent b="0" l="0" r="0" t="0"/>
            <wp:docPr id="8"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3984508" cy="2340108"/>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0" w:lineRule="auto"/>
        <w:ind w:left="720" w:firstLine="0"/>
        <w:jc w:val="center"/>
        <w:rPr>
          <w:sz w:val="20"/>
          <w:szCs w:val="20"/>
        </w:rPr>
      </w:pPr>
      <w:r w:rsidDel="00000000" w:rsidR="00000000" w:rsidRPr="00000000">
        <w:rPr>
          <w:rtl w:val="0"/>
        </w:rPr>
      </w:r>
    </w:p>
    <w:p w:rsidR="00000000" w:rsidDel="00000000" w:rsidP="00000000" w:rsidRDefault="00000000" w:rsidRPr="00000000" w14:paraId="00000048">
      <w:pPr>
        <w:spacing w:after="0" w:lineRule="auto"/>
        <w:ind w:left="720" w:firstLine="0"/>
        <w:jc w:val="center"/>
        <w:rPr>
          <w:sz w:val="20"/>
          <w:szCs w:val="20"/>
        </w:rPr>
      </w:pPr>
      <w:r w:rsidDel="00000000" w:rsidR="00000000" w:rsidRPr="00000000">
        <w:rPr>
          <w:sz w:val="20"/>
          <w:szCs w:val="20"/>
        </w:rPr>
        <w:drawing>
          <wp:inline distB="114300" distT="114300" distL="114300" distR="114300">
            <wp:extent cx="3892464" cy="2191703"/>
            <wp:effectExtent b="0" l="0" r="0" t="0"/>
            <wp:docPr id="3"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3892464" cy="2191703"/>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sz w:val="20"/>
          <w:szCs w:val="20"/>
        </w:rPr>
      </w:pPr>
      <w:r w:rsidDel="00000000" w:rsidR="00000000" w:rsidRPr="00000000">
        <w:rPr>
          <w:i w:val="0"/>
          <w:smallCaps w:val="0"/>
          <w:strike w:val="0"/>
          <w:color w:val="000000"/>
          <w:sz w:val="20"/>
          <w:szCs w:val="20"/>
          <w:u w:val="single"/>
          <w:shd w:fill="auto" w:val="clear"/>
          <w:vertAlign w:val="baseline"/>
          <w:rtl w:val="0"/>
        </w:rPr>
        <w:t xml:space="preserve">Historical Capital Allocation</w:t>
      </w:r>
      <w:r w:rsidDel="00000000" w:rsidR="00000000" w:rsidRPr="00000000">
        <w:rPr>
          <w:i w:val="0"/>
          <w:smallCaps w:val="0"/>
          <w:strike w:val="0"/>
          <w:color w:val="000000"/>
          <w:sz w:val="20"/>
          <w:szCs w:val="20"/>
          <w:u w:val="none"/>
          <w:shd w:fill="auto" w:val="clear"/>
          <w:vertAlign w:val="baseline"/>
          <w:rtl w:val="0"/>
        </w:rPr>
        <w:t xml:space="preserve">:</w:t>
      </w:r>
      <w:r w:rsidDel="00000000" w:rsidR="00000000" w:rsidRPr="00000000">
        <w:rPr>
          <w:sz w:val="20"/>
          <w:szCs w:val="20"/>
          <w:rtl w:val="0"/>
        </w:rPr>
        <w:t xml:space="preserve"> </w:t>
      </w:r>
    </w:p>
    <w:p w:rsidR="00000000" w:rsidDel="00000000" w:rsidP="00000000" w:rsidRDefault="00000000" w:rsidRPr="00000000" w14:paraId="0000004A">
      <w:pPr>
        <w:numPr>
          <w:ilvl w:val="1"/>
          <w:numId w:val="4"/>
        </w:numPr>
        <w:spacing w:after="0" w:lineRule="auto"/>
        <w:ind w:left="1440" w:hanging="360"/>
        <w:rPr>
          <w:sz w:val="20"/>
          <w:szCs w:val="20"/>
        </w:rPr>
      </w:pPr>
      <w:r w:rsidDel="00000000" w:rsidR="00000000" w:rsidRPr="00000000">
        <w:rPr>
          <w:sz w:val="20"/>
          <w:szCs w:val="20"/>
          <w:rtl w:val="0"/>
        </w:rPr>
        <w:t xml:space="preserve">Over the years, one of the major drivers for the increase in ROIC has been increased Capex, which is attributable to the increased purchase of property and technological enhancements for the expansion and production of BEVs. The average Capex over the past 5 years has been $575 million, which shows that the increased Capex has helped improve the Operating profits before tax (EBIT). The returns on these investments have consistently outstripped the cost of capital, justifying Ferrari's strategic allocation towards expansion and technological acquisition.</w:t>
      </w:r>
    </w:p>
    <w:p w:rsidR="00000000" w:rsidDel="00000000" w:rsidP="00000000" w:rsidRDefault="00000000" w:rsidRPr="00000000" w14:paraId="0000004B">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afterAutospacing="0" w:before="0" w:line="259" w:lineRule="auto"/>
        <w:ind w:left="1440" w:right="0" w:hanging="360"/>
        <w:jc w:val="left"/>
        <w:rPr>
          <w:sz w:val="20"/>
          <w:szCs w:val="20"/>
        </w:rPr>
      </w:pPr>
      <w:r w:rsidDel="00000000" w:rsidR="00000000" w:rsidRPr="00000000">
        <w:rPr>
          <w:color w:val="0d0d0d"/>
          <w:sz w:val="20"/>
          <w:szCs w:val="20"/>
          <w:highlight w:val="white"/>
          <w:rtl w:val="0"/>
        </w:rPr>
        <w:t xml:space="preserve">Another area of capital allocation has been the increase in share repurchases and the distribution of common dividends. This impacts the ROIC  in two significant ways. Firstly, share repurchases decrease the total invested capital, which enhances the ROIC ratio. Secondly, as a result of the reduced number of outstanding shares from these repurchases, dividend distributions effectively increase. Additionally, with substantial investments in infrastructure and development, the Earnings Per Share (EPS) rise, leading to an increase in stock prices. The heightened dividend payouts suggest stable operations and a shift away from reliance on debt for financing growth.</w:t>
      </w:r>
    </w:p>
    <w:p w:rsidR="00000000" w:rsidDel="00000000" w:rsidP="00000000" w:rsidRDefault="00000000" w:rsidRPr="00000000" w14:paraId="0000004C">
      <w:pPr>
        <w:numPr>
          <w:ilvl w:val="1"/>
          <w:numId w:val="4"/>
        </w:numPr>
        <w:spacing w:after="240" w:before="0" w:beforeAutospacing="0" w:lineRule="auto"/>
        <w:ind w:left="1440" w:hanging="360"/>
        <w:rPr>
          <w:color w:val="0d0d0d"/>
          <w:sz w:val="20"/>
          <w:szCs w:val="20"/>
          <w:highlight w:val="white"/>
        </w:rPr>
      </w:pPr>
      <w:r w:rsidDel="00000000" w:rsidR="00000000" w:rsidRPr="00000000">
        <w:rPr>
          <w:color w:val="0d0d0d"/>
          <w:sz w:val="20"/>
          <w:szCs w:val="20"/>
          <w:highlight w:val="white"/>
          <w:rtl w:val="0"/>
        </w:rPr>
        <w:t xml:space="preserve">Between 2020 and 2021, Ferrari's ROIC rose even with stable Capex, driven by revenue growth from high-margin products, enhanced asset utilization, strategic capital allocations such as share buybacks, and gains from previous technological advancements. Ferrari's strong brand ensured high pricing power and customer loyalty, while deferred Capex projects due to the pandemic contributed to sustained high returns.</w:t>
      </w:r>
      <w:r w:rsidDel="00000000" w:rsidR="00000000" w:rsidRPr="00000000">
        <w:rPr>
          <w:rtl w:val="0"/>
        </w:rPr>
      </w:r>
    </w:p>
    <w:p w:rsidR="00000000" w:rsidDel="00000000" w:rsidP="00000000" w:rsidRDefault="00000000" w:rsidRPr="00000000" w14:paraId="0000004D">
      <w:pPr>
        <w:spacing w:after="0" w:lineRule="auto"/>
        <w:rPr>
          <w:b w:val="1"/>
          <w:sz w:val="20"/>
          <w:szCs w:val="20"/>
          <w:u w:val="single"/>
        </w:rPr>
      </w:pPr>
      <w:r w:rsidDel="00000000" w:rsidR="00000000" w:rsidRPr="00000000">
        <w:rPr>
          <w:rtl w:val="0"/>
        </w:rPr>
      </w:r>
    </w:p>
    <w:p w:rsidR="00000000" w:rsidDel="00000000" w:rsidP="00000000" w:rsidRDefault="00000000" w:rsidRPr="00000000" w14:paraId="0000004E">
      <w:pPr>
        <w:spacing w:after="0" w:lineRule="auto"/>
        <w:rPr>
          <w:b w:val="1"/>
          <w:sz w:val="20"/>
          <w:szCs w:val="20"/>
          <w:u w:val="single"/>
        </w:rPr>
      </w:pPr>
      <w:r w:rsidDel="00000000" w:rsidR="00000000" w:rsidRPr="00000000">
        <w:rPr>
          <w:b w:val="1"/>
          <w:sz w:val="20"/>
          <w:szCs w:val="20"/>
          <w:u w:val="single"/>
          <w:rtl w:val="0"/>
        </w:rPr>
        <w:t xml:space="preserve">Does it fit our criteria? </w:t>
      </w:r>
    </w:p>
    <w:p w:rsidR="00000000" w:rsidDel="00000000" w:rsidP="00000000" w:rsidRDefault="00000000" w:rsidRPr="00000000" w14:paraId="0000004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sz w:val="20"/>
          <w:szCs w:val="20"/>
          <w:shd w:fill="auto" w:val="clear"/>
          <w:vertAlign w:val="baseline"/>
        </w:rPr>
      </w:pPr>
      <w:r w:rsidDel="00000000" w:rsidR="00000000" w:rsidRPr="00000000">
        <w:rPr>
          <w:b w:val="1"/>
          <w:i w:val="0"/>
          <w:smallCaps w:val="0"/>
          <w:strike w:val="0"/>
          <w:color w:val="000000"/>
          <w:sz w:val="20"/>
          <w:szCs w:val="20"/>
          <w:u w:val="single"/>
          <w:shd w:fill="auto" w:val="clear"/>
          <w:vertAlign w:val="baseline"/>
          <w:rtl w:val="0"/>
        </w:rPr>
        <w:t xml:space="preserve">Market Leadership</w:t>
      </w:r>
      <w:r w:rsidDel="00000000" w:rsidR="00000000" w:rsidRPr="00000000">
        <w:rPr>
          <w:i w:val="0"/>
          <w:smallCaps w:val="0"/>
          <w:strike w:val="0"/>
          <w:color w:val="000000"/>
          <w:sz w:val="20"/>
          <w:szCs w:val="20"/>
          <w:u w:val="none"/>
          <w:shd w:fill="auto" w:val="clear"/>
          <w:vertAlign w:val="baseline"/>
          <w:rtl w:val="0"/>
        </w:rPr>
        <w:t xml:space="preserve"> –</w:t>
      </w:r>
      <w:r w:rsidDel="00000000" w:rsidR="00000000" w:rsidRPr="00000000">
        <w:rPr>
          <w:i w:val="0"/>
          <w:smallCaps w:val="0"/>
          <w:strike w:val="0"/>
          <w:sz w:val="20"/>
          <w:szCs w:val="20"/>
          <w:u w:val="none"/>
          <w:shd w:fill="auto" w:val="clear"/>
          <w:vertAlign w:val="baseline"/>
          <w:rtl w:val="0"/>
        </w:rPr>
        <w:t xml:space="preserve"> </w:t>
      </w:r>
      <w:r w:rsidDel="00000000" w:rsidR="00000000" w:rsidRPr="00000000">
        <w:rPr>
          <w:sz w:val="20"/>
          <w:szCs w:val="20"/>
          <w:highlight w:val="white"/>
          <w:rtl w:val="0"/>
        </w:rPr>
        <w:t xml:space="preserve">Ferrari is a market leader in the luxury performance car industry.</w:t>
      </w:r>
      <w:r w:rsidDel="00000000" w:rsidR="00000000" w:rsidRPr="00000000">
        <w:rPr>
          <w:rtl w:val="0"/>
        </w:rPr>
      </w:r>
    </w:p>
    <w:p w:rsidR="00000000" w:rsidDel="00000000" w:rsidP="00000000" w:rsidRDefault="00000000" w:rsidRPr="00000000" w14:paraId="00000050">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0"/>
          <w:smallCaps w:val="0"/>
          <w:strike w:val="0"/>
          <w:sz w:val="20"/>
          <w:szCs w:val="20"/>
          <w:shd w:fill="auto" w:val="clear"/>
          <w:vertAlign w:val="baseline"/>
        </w:rPr>
      </w:pPr>
      <w:r w:rsidDel="00000000" w:rsidR="00000000" w:rsidRPr="00000000">
        <w:rPr>
          <w:b w:val="1"/>
          <w:i w:val="0"/>
          <w:smallCaps w:val="0"/>
          <w:strike w:val="0"/>
          <w:sz w:val="20"/>
          <w:szCs w:val="20"/>
          <w:u w:val="single"/>
          <w:shd w:fill="auto" w:val="clear"/>
          <w:vertAlign w:val="baseline"/>
          <w:rtl w:val="0"/>
        </w:rPr>
        <w:t xml:space="preserve">Competitors</w:t>
      </w:r>
      <w:r w:rsidDel="00000000" w:rsidR="00000000" w:rsidRPr="00000000">
        <w:rPr>
          <w:i w:val="0"/>
          <w:smallCaps w:val="0"/>
          <w:strike w:val="0"/>
          <w:sz w:val="20"/>
          <w:szCs w:val="20"/>
          <w:u w:val="none"/>
          <w:shd w:fill="auto" w:val="clear"/>
          <w:vertAlign w:val="baseline"/>
          <w:rtl w:val="0"/>
        </w:rPr>
        <w:t xml:space="preserve"> – </w:t>
      </w:r>
      <w:r w:rsidDel="00000000" w:rsidR="00000000" w:rsidRPr="00000000">
        <w:rPr>
          <w:sz w:val="20"/>
          <w:szCs w:val="20"/>
          <w:highlight w:val="white"/>
          <w:rtl w:val="0"/>
        </w:rPr>
        <w:t xml:space="preserve">Key competitors include:</w:t>
      </w:r>
    </w:p>
    <w:p w:rsidR="00000000" w:rsidDel="00000000" w:rsidP="00000000" w:rsidRDefault="00000000" w:rsidRPr="00000000" w14:paraId="00000051">
      <w:pPr>
        <w:keepLines w:val="0"/>
        <w:numPr>
          <w:ilvl w:val="2"/>
          <w:numId w:val="10"/>
        </w:numPr>
        <w:spacing w:after="0" w:afterAutospacing="0" w:line="240" w:lineRule="auto"/>
        <w:ind w:left="2160" w:hanging="360"/>
        <w:rPr>
          <w:rFonts w:ascii="Calibri" w:cs="Calibri" w:eastAsia="Calibri" w:hAnsi="Calibri"/>
          <w:sz w:val="20"/>
          <w:szCs w:val="20"/>
        </w:rPr>
      </w:pPr>
      <w:r w:rsidDel="00000000" w:rsidR="00000000" w:rsidRPr="00000000">
        <w:rPr>
          <w:sz w:val="20"/>
          <w:szCs w:val="20"/>
          <w:highlight w:val="white"/>
          <w:u w:val="single"/>
          <w:rtl w:val="0"/>
        </w:rPr>
        <w:t xml:space="preserve">Lamborghini</w:t>
      </w:r>
      <w:r w:rsidDel="00000000" w:rsidR="00000000" w:rsidRPr="00000000">
        <w:rPr>
          <w:sz w:val="20"/>
          <w:szCs w:val="20"/>
          <w:highlight w:val="white"/>
          <w:rtl w:val="0"/>
        </w:rPr>
        <w:t xml:space="preserve">: O</w:t>
      </w:r>
      <w:r w:rsidDel="00000000" w:rsidR="00000000" w:rsidRPr="00000000">
        <w:rPr>
          <w:sz w:val="20"/>
          <w:szCs w:val="20"/>
          <w:highlight w:val="white"/>
          <w:rtl w:val="0"/>
        </w:rPr>
        <w:t xml:space="preserve">wned by Volkswagen Group,</w:t>
      </w:r>
      <w:r w:rsidDel="00000000" w:rsidR="00000000" w:rsidRPr="00000000">
        <w:rPr>
          <w:sz w:val="20"/>
          <w:szCs w:val="20"/>
          <w:highlight w:val="white"/>
          <w:rtl w:val="0"/>
        </w:rPr>
        <w:t xml:space="preserve"> with a market cap of $69.71 billion and an EBIT margin of 7.6%.</w:t>
      </w:r>
    </w:p>
    <w:p w:rsidR="00000000" w:rsidDel="00000000" w:rsidP="00000000" w:rsidRDefault="00000000" w:rsidRPr="00000000" w14:paraId="00000052">
      <w:pPr>
        <w:keepLines w:val="0"/>
        <w:numPr>
          <w:ilvl w:val="2"/>
          <w:numId w:val="10"/>
        </w:numPr>
        <w:spacing w:after="0" w:afterAutospacing="0" w:line="240" w:lineRule="auto"/>
        <w:ind w:left="2160" w:hanging="360"/>
        <w:rPr>
          <w:rFonts w:ascii="Calibri" w:cs="Calibri" w:eastAsia="Calibri" w:hAnsi="Calibri"/>
          <w:sz w:val="20"/>
          <w:szCs w:val="20"/>
        </w:rPr>
      </w:pPr>
      <w:r w:rsidDel="00000000" w:rsidR="00000000" w:rsidRPr="00000000">
        <w:rPr>
          <w:sz w:val="20"/>
          <w:szCs w:val="20"/>
          <w:highlight w:val="white"/>
          <w:u w:val="single"/>
          <w:rtl w:val="0"/>
        </w:rPr>
        <w:t xml:space="preserve">McLaren:</w:t>
      </w:r>
      <w:r w:rsidDel="00000000" w:rsidR="00000000" w:rsidRPr="00000000">
        <w:rPr>
          <w:sz w:val="20"/>
          <w:szCs w:val="20"/>
          <w:highlight w:val="white"/>
          <w:rtl w:val="0"/>
        </w:rPr>
        <w:t xml:space="preserve"> Known for cutting-edge technology, yet with a smaller market cap of $261.37 million.</w:t>
      </w:r>
      <w:r w:rsidDel="00000000" w:rsidR="00000000" w:rsidRPr="00000000">
        <w:rPr>
          <w:rtl w:val="0"/>
        </w:rPr>
      </w:r>
    </w:p>
    <w:p w:rsidR="00000000" w:rsidDel="00000000" w:rsidP="00000000" w:rsidRDefault="00000000" w:rsidRPr="00000000" w14:paraId="00000053">
      <w:pPr>
        <w:keepLines w:val="0"/>
        <w:numPr>
          <w:ilvl w:val="2"/>
          <w:numId w:val="10"/>
        </w:numPr>
        <w:spacing w:after="0" w:afterAutospacing="0" w:line="240" w:lineRule="auto"/>
        <w:ind w:left="2160" w:hanging="360"/>
        <w:rPr>
          <w:rFonts w:ascii="Calibri" w:cs="Calibri" w:eastAsia="Calibri" w:hAnsi="Calibri"/>
          <w:sz w:val="20"/>
          <w:szCs w:val="20"/>
        </w:rPr>
      </w:pPr>
      <w:r w:rsidDel="00000000" w:rsidR="00000000" w:rsidRPr="00000000">
        <w:rPr>
          <w:sz w:val="20"/>
          <w:szCs w:val="20"/>
          <w:highlight w:val="white"/>
          <w:u w:val="single"/>
          <w:rtl w:val="0"/>
        </w:rPr>
        <w:t xml:space="preserve">Aston Martin:</w:t>
      </w:r>
      <w:r w:rsidDel="00000000" w:rsidR="00000000" w:rsidRPr="00000000">
        <w:rPr>
          <w:sz w:val="20"/>
          <w:szCs w:val="20"/>
          <w:highlight w:val="white"/>
          <w:rtl w:val="0"/>
        </w:rPr>
        <w:t xml:space="preserve"> Combines luxury and performance with a market cap of $1.56 billion.</w:t>
      </w:r>
    </w:p>
    <w:p w:rsidR="00000000" w:rsidDel="00000000" w:rsidP="00000000" w:rsidRDefault="00000000" w:rsidRPr="00000000" w14:paraId="00000054">
      <w:pPr>
        <w:keepLines w:val="0"/>
        <w:numPr>
          <w:ilvl w:val="2"/>
          <w:numId w:val="10"/>
        </w:numPr>
        <w:spacing w:after="0" w:afterAutospacing="0" w:line="240" w:lineRule="auto"/>
        <w:ind w:left="2160" w:hanging="360"/>
        <w:rPr>
          <w:rFonts w:ascii="Calibri" w:cs="Calibri" w:eastAsia="Calibri" w:hAnsi="Calibri"/>
          <w:sz w:val="20"/>
          <w:szCs w:val="20"/>
        </w:rPr>
      </w:pPr>
      <w:r w:rsidDel="00000000" w:rsidR="00000000" w:rsidRPr="00000000">
        <w:rPr>
          <w:sz w:val="20"/>
          <w:szCs w:val="20"/>
          <w:highlight w:val="white"/>
          <w:u w:val="single"/>
          <w:rtl w:val="0"/>
        </w:rPr>
        <w:t xml:space="preserve">Rolls-Royce and Bentley:</w:t>
      </w:r>
      <w:r w:rsidDel="00000000" w:rsidR="00000000" w:rsidRPr="00000000">
        <w:rPr>
          <w:sz w:val="20"/>
          <w:szCs w:val="20"/>
          <w:highlight w:val="white"/>
          <w:rtl w:val="0"/>
        </w:rPr>
        <w:t xml:space="preserve"> Represent the apex of luxury with respective market caps of $42.42 billion and $17.25 billion.</w:t>
      </w:r>
    </w:p>
    <w:p w:rsidR="00000000" w:rsidDel="00000000" w:rsidP="00000000" w:rsidRDefault="00000000" w:rsidRPr="00000000" w14:paraId="00000055">
      <w:pPr>
        <w:numPr>
          <w:ilvl w:val="2"/>
          <w:numId w:val="10"/>
        </w:numPr>
        <w:spacing w:after="0" w:afterAutospacing="0" w:line="240" w:lineRule="auto"/>
        <w:ind w:left="2160" w:hanging="360"/>
        <w:rPr>
          <w:rFonts w:ascii="Calibri" w:cs="Calibri" w:eastAsia="Calibri" w:hAnsi="Calibri"/>
          <w:sz w:val="20"/>
          <w:szCs w:val="20"/>
        </w:rPr>
      </w:pPr>
      <w:r w:rsidDel="00000000" w:rsidR="00000000" w:rsidRPr="00000000">
        <w:rPr>
          <w:sz w:val="20"/>
          <w:szCs w:val="20"/>
          <w:highlight w:val="white"/>
          <w:u w:val="single"/>
          <w:rtl w:val="0"/>
        </w:rPr>
        <w:t xml:space="preserve">Hermes and Rolex:</w:t>
      </w:r>
      <w:r w:rsidDel="00000000" w:rsidR="00000000" w:rsidRPr="00000000">
        <w:rPr>
          <w:sz w:val="20"/>
          <w:szCs w:val="20"/>
          <w:highlight w:val="white"/>
          <w:rtl w:val="0"/>
        </w:rPr>
        <w:t xml:space="preserve"> Both serve the broader luxury market, with market caps of $258.18 billion and $602 million respectively, competing with Ferrari in terms of lifestyle and luxury status.</w:t>
      </w:r>
      <w:r w:rsidDel="00000000" w:rsidR="00000000" w:rsidRPr="00000000">
        <w:rPr>
          <w:rtl w:val="0"/>
        </w:rPr>
      </w:r>
    </w:p>
    <w:p w:rsidR="00000000" w:rsidDel="00000000" w:rsidP="00000000" w:rsidRDefault="00000000" w:rsidRPr="00000000" w14:paraId="0000005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sz w:val="20"/>
          <w:szCs w:val="20"/>
          <w:shd w:fill="auto" w:val="clear"/>
          <w:vertAlign w:val="baseline"/>
        </w:rPr>
      </w:pPr>
      <w:r w:rsidDel="00000000" w:rsidR="00000000" w:rsidRPr="00000000">
        <w:rPr>
          <w:b w:val="1"/>
          <w:i w:val="0"/>
          <w:smallCaps w:val="0"/>
          <w:strike w:val="0"/>
          <w:color w:val="000000"/>
          <w:sz w:val="20"/>
          <w:szCs w:val="20"/>
          <w:u w:val="single"/>
          <w:shd w:fill="auto" w:val="clear"/>
          <w:vertAlign w:val="baseline"/>
          <w:rtl w:val="0"/>
        </w:rPr>
        <w:t xml:space="preserve">History of Profitability</w:t>
      </w:r>
      <w:r w:rsidDel="00000000" w:rsidR="00000000" w:rsidRPr="00000000">
        <w:rPr>
          <w:i w:val="0"/>
          <w:smallCaps w:val="0"/>
          <w:strike w:val="0"/>
          <w:color w:val="000000"/>
          <w:sz w:val="20"/>
          <w:szCs w:val="20"/>
          <w:u w:val="none"/>
          <w:shd w:fill="auto" w:val="clear"/>
          <w:vertAlign w:val="baseline"/>
          <w:rtl w:val="0"/>
        </w:rPr>
        <w:t xml:space="preserve"> – </w:t>
      </w:r>
      <w:r w:rsidDel="00000000" w:rsidR="00000000" w:rsidRPr="00000000">
        <w:rPr>
          <w:sz w:val="20"/>
          <w:szCs w:val="20"/>
          <w:rtl w:val="0"/>
        </w:rPr>
        <w:t xml:space="preserve">Ferrari has generated positive FCF and NI through recessions such as the pandemic (2020)</w:t>
      </w:r>
      <w:r w:rsidDel="00000000" w:rsidR="00000000" w:rsidRPr="00000000">
        <w:rPr>
          <w:i w:val="0"/>
          <w:smallCaps w:val="0"/>
          <w:strike w:val="0"/>
          <w:sz w:val="20"/>
          <w:szCs w:val="20"/>
          <w:u w:val="none"/>
          <w:shd w:fill="auto" w:val="clear"/>
          <w:vertAlign w:val="baseline"/>
          <w:rtl w:val="0"/>
        </w:rPr>
        <w:t xml:space="preserve">. Despite an 8% revenue decline in 2020, profitability was sustained, and a substantial 23% revenue increase followed in 2021. From the beginning of COVID to the end of 2023, Ferrari increased revenues by over 58%, highlighting its robust profitability.  </w:t>
      </w:r>
      <w:r w:rsidDel="00000000" w:rsidR="00000000" w:rsidRPr="00000000">
        <w:rPr>
          <w:rtl w:val="0"/>
        </w:rPr>
      </w:r>
    </w:p>
    <w:p w:rsidR="00000000" w:rsidDel="00000000" w:rsidP="00000000" w:rsidRDefault="00000000" w:rsidRPr="00000000" w14:paraId="0000005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1"/>
          <w:sz w:val="20"/>
          <w:szCs w:val="20"/>
        </w:rPr>
      </w:pPr>
      <w:r w:rsidDel="00000000" w:rsidR="00000000" w:rsidRPr="00000000">
        <w:rPr>
          <w:b w:val="1"/>
          <w:sz w:val="20"/>
          <w:szCs w:val="20"/>
          <w:u w:val="single"/>
          <w:rtl w:val="0"/>
        </w:rPr>
        <w:t xml:space="preserve">Strong Balance Sheet</w:t>
      </w:r>
      <w:r w:rsidDel="00000000" w:rsidR="00000000" w:rsidRPr="00000000">
        <w:rPr>
          <w:sz w:val="20"/>
          <w:szCs w:val="20"/>
          <w:rtl w:val="0"/>
        </w:rPr>
        <w:t xml:space="preserve"> -  Ferrari maintains a strong balance sheet, with the current assets to current liabilities ratio averaging above 3.99 from 2021 to 2023, showcasing financial stability and conservative leverage.  </w:t>
      </w:r>
      <w:r w:rsidDel="00000000" w:rsidR="00000000" w:rsidRPr="00000000">
        <w:rPr>
          <w:sz w:val="20"/>
          <w:szCs w:val="20"/>
          <w:rtl w:val="0"/>
        </w:rPr>
        <w:t xml:space="preserve">For comparison, Aston Martin, a direct competitor of Ferrari, had a ratio of 1.08 in 2022</w:t>
      </w:r>
      <w:r w:rsidDel="00000000" w:rsidR="00000000" w:rsidRPr="00000000">
        <w:rPr>
          <w:sz w:val="20"/>
          <w:szCs w:val="20"/>
          <w:vertAlign w:val="superscript"/>
        </w:rPr>
        <w:footnoteReference w:customMarkFollows="0" w:id="9"/>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05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sz w:val="20"/>
          <w:szCs w:val="20"/>
          <w:shd w:fill="auto" w:val="clear"/>
          <w:vertAlign w:val="baseline"/>
        </w:rPr>
      </w:pPr>
      <w:r w:rsidDel="00000000" w:rsidR="00000000" w:rsidRPr="00000000">
        <w:rPr>
          <w:b w:val="1"/>
          <w:i w:val="0"/>
          <w:smallCaps w:val="0"/>
          <w:strike w:val="0"/>
          <w:sz w:val="20"/>
          <w:szCs w:val="20"/>
          <w:u w:val="single"/>
          <w:shd w:fill="auto" w:val="clear"/>
          <w:vertAlign w:val="baseline"/>
          <w:rtl w:val="0"/>
        </w:rPr>
        <w:t xml:space="preserve">Quality Mgmt</w:t>
      </w:r>
      <w:r w:rsidDel="00000000" w:rsidR="00000000" w:rsidRPr="00000000">
        <w:rPr>
          <w:i w:val="0"/>
          <w:smallCaps w:val="0"/>
          <w:strike w:val="0"/>
          <w:sz w:val="20"/>
          <w:szCs w:val="20"/>
          <w:u w:val="none"/>
          <w:shd w:fill="auto" w:val="clear"/>
          <w:vertAlign w:val="baseline"/>
          <w:rtl w:val="0"/>
        </w:rPr>
        <w:t xml:space="preserve"> – The leadership has seen changes post-2014, marking a shift towards a more conservative financial strategy under CEO Benedetto Vigna, who focuses on preserving the Ferrari brand’s prestige rather than expanding through acquisitions.</w:t>
      </w:r>
      <w:r w:rsidDel="00000000" w:rsidR="00000000" w:rsidRPr="00000000">
        <w:rPr>
          <w:sz w:val="20"/>
          <w:szCs w:val="20"/>
          <w:vertAlign w:val="superscript"/>
        </w:rPr>
        <w:footnoteReference w:customMarkFollows="0" w:id="10"/>
      </w:r>
      <w:r w:rsidDel="00000000" w:rsidR="00000000" w:rsidRPr="00000000">
        <w:rPr>
          <w:i w:val="0"/>
          <w:smallCaps w:val="0"/>
          <w:strike w:val="0"/>
          <w:sz w:val="20"/>
          <w:szCs w:val="20"/>
          <w:u w:val="none"/>
          <w:shd w:fill="auto" w:val="clear"/>
          <w:vertAlign w:val="baseline"/>
          <w:rtl w:val="0"/>
        </w:rPr>
        <w:t xml:space="preserve"> Until 2014, </w:t>
      </w:r>
      <w:r w:rsidDel="00000000" w:rsidR="00000000" w:rsidRPr="00000000">
        <w:rPr>
          <w:sz w:val="20"/>
          <w:szCs w:val="20"/>
          <w:rtl w:val="0"/>
        </w:rPr>
        <w:t xml:space="preserve">Ferrari was run by </w:t>
      </w:r>
      <w:r w:rsidDel="00000000" w:rsidR="00000000" w:rsidRPr="00000000">
        <w:rPr>
          <w:sz w:val="20"/>
          <w:szCs w:val="20"/>
          <w:rtl w:val="0"/>
        </w:rPr>
        <w:t xml:space="preserve">Luca Cordero di Montezemolo for 23 years when he resigned. The CEO was replaced several times in the following decade, showing less stability in the C-Suite. This gives a possible explanation for the</w:t>
      </w:r>
      <w:r w:rsidDel="00000000" w:rsidR="00000000" w:rsidRPr="00000000">
        <w:rPr>
          <w:sz w:val="20"/>
          <w:szCs w:val="20"/>
          <w:rtl w:val="0"/>
        </w:rPr>
        <w:t xml:space="preserve"> increase in long-term investments beginning in 2016, showing a possible change in financial strategy and greater risk-aversion.</w:t>
      </w:r>
      <w:r w:rsidDel="00000000" w:rsidR="00000000" w:rsidRPr="00000000">
        <w:rPr>
          <w:sz w:val="20"/>
          <w:szCs w:val="20"/>
          <w:vertAlign w:val="superscript"/>
        </w:rPr>
        <w:footnoteReference w:customMarkFollows="0" w:id="11"/>
      </w:r>
      <w:r w:rsidDel="00000000" w:rsidR="00000000" w:rsidRPr="00000000">
        <w:rPr>
          <w:rtl w:val="0"/>
        </w:rPr>
      </w:r>
    </w:p>
    <w:p w:rsidR="00000000" w:rsidDel="00000000" w:rsidP="00000000" w:rsidRDefault="00000000" w:rsidRPr="00000000" w14:paraId="0000005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sz w:val="20"/>
          <w:szCs w:val="20"/>
          <w:shd w:fill="auto" w:val="clear"/>
          <w:vertAlign w:val="baseline"/>
        </w:rPr>
      </w:pPr>
      <w:r w:rsidDel="00000000" w:rsidR="00000000" w:rsidRPr="00000000">
        <w:rPr>
          <w:b w:val="1"/>
          <w:i w:val="0"/>
          <w:smallCaps w:val="0"/>
          <w:strike w:val="0"/>
          <w:color w:val="000000"/>
          <w:sz w:val="20"/>
          <w:szCs w:val="20"/>
          <w:u w:val="single"/>
          <w:shd w:fill="auto" w:val="clear"/>
          <w:vertAlign w:val="baseline"/>
          <w:rtl w:val="0"/>
        </w:rPr>
        <w:t xml:space="preserve">Hamilton Helmer’s 7 Powers –</w:t>
      </w:r>
      <w:r w:rsidDel="00000000" w:rsidR="00000000" w:rsidRPr="00000000">
        <w:rPr>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5A">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0"/>
          <w:smallCaps w:val="0"/>
          <w:strike w:val="0"/>
          <w:sz w:val="20"/>
          <w:szCs w:val="20"/>
          <w:shd w:fill="auto" w:val="clear"/>
          <w:vertAlign w:val="baseline"/>
        </w:rPr>
      </w:pPr>
      <w:r w:rsidDel="00000000" w:rsidR="00000000" w:rsidRPr="00000000">
        <w:rPr>
          <w:b w:val="1"/>
          <w:i w:val="1"/>
          <w:smallCaps w:val="0"/>
          <w:strike w:val="0"/>
          <w:color w:val="000000"/>
          <w:sz w:val="20"/>
          <w:szCs w:val="20"/>
          <w:u w:val="none"/>
          <w:shd w:fill="auto" w:val="clear"/>
          <w:vertAlign w:val="baseline"/>
          <w:rtl w:val="0"/>
        </w:rPr>
        <w:t xml:space="preserve">Scale economies: </w:t>
      </w:r>
      <w:r w:rsidDel="00000000" w:rsidR="00000000" w:rsidRPr="00000000">
        <w:rPr>
          <w:sz w:val="20"/>
          <w:szCs w:val="20"/>
          <w:rtl w:val="0"/>
        </w:rPr>
        <w:t xml:space="preserve">N/A</w:t>
      </w:r>
      <w:r w:rsidDel="00000000" w:rsidR="00000000" w:rsidRPr="00000000">
        <w:rPr>
          <w:rtl w:val="0"/>
        </w:rPr>
      </w:r>
    </w:p>
    <w:p w:rsidR="00000000" w:rsidDel="00000000" w:rsidP="00000000" w:rsidRDefault="00000000" w:rsidRPr="00000000" w14:paraId="0000005B">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0"/>
          <w:smallCaps w:val="0"/>
          <w:strike w:val="0"/>
          <w:sz w:val="20"/>
          <w:szCs w:val="20"/>
          <w:shd w:fill="auto" w:val="clear"/>
          <w:vertAlign w:val="baseline"/>
        </w:rPr>
      </w:pPr>
      <w:r w:rsidDel="00000000" w:rsidR="00000000" w:rsidRPr="00000000">
        <w:rPr>
          <w:b w:val="1"/>
          <w:i w:val="1"/>
          <w:smallCaps w:val="0"/>
          <w:strike w:val="0"/>
          <w:color w:val="000000"/>
          <w:sz w:val="20"/>
          <w:szCs w:val="20"/>
          <w:u w:val="none"/>
          <w:shd w:fill="auto" w:val="clear"/>
          <w:vertAlign w:val="baseline"/>
          <w:rtl w:val="0"/>
        </w:rPr>
        <w:t xml:space="preserve">Network economies: </w:t>
      </w:r>
      <w:r w:rsidDel="00000000" w:rsidR="00000000" w:rsidRPr="00000000">
        <w:rPr>
          <w:sz w:val="20"/>
          <w:szCs w:val="20"/>
          <w:rtl w:val="0"/>
        </w:rPr>
        <w:t xml:space="preserve">N/A</w:t>
      </w:r>
      <w:r w:rsidDel="00000000" w:rsidR="00000000" w:rsidRPr="00000000">
        <w:rPr>
          <w:rtl w:val="0"/>
        </w:rPr>
      </w:r>
    </w:p>
    <w:p w:rsidR="00000000" w:rsidDel="00000000" w:rsidP="00000000" w:rsidRDefault="00000000" w:rsidRPr="00000000" w14:paraId="0000005C">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0"/>
          <w:smallCaps w:val="0"/>
          <w:strike w:val="0"/>
          <w:sz w:val="20"/>
          <w:szCs w:val="20"/>
          <w:shd w:fill="auto" w:val="clear"/>
          <w:vertAlign w:val="baseline"/>
        </w:rPr>
      </w:pPr>
      <w:r w:rsidDel="00000000" w:rsidR="00000000" w:rsidRPr="00000000">
        <w:rPr>
          <w:b w:val="1"/>
          <w:i w:val="1"/>
          <w:smallCaps w:val="0"/>
          <w:strike w:val="0"/>
          <w:color w:val="000000"/>
          <w:sz w:val="20"/>
          <w:szCs w:val="20"/>
          <w:u w:val="none"/>
          <w:shd w:fill="auto" w:val="clear"/>
          <w:vertAlign w:val="baseline"/>
          <w:rtl w:val="0"/>
        </w:rPr>
        <w:t xml:space="preserve">Counter-positioning: </w:t>
      </w:r>
      <w:r w:rsidDel="00000000" w:rsidR="00000000" w:rsidRPr="00000000">
        <w:rPr>
          <w:sz w:val="20"/>
          <w:szCs w:val="20"/>
          <w:rtl w:val="0"/>
        </w:rPr>
        <w:t xml:space="preserve">N/A</w:t>
      </w:r>
      <w:r w:rsidDel="00000000" w:rsidR="00000000" w:rsidRPr="00000000">
        <w:rPr>
          <w:rtl w:val="0"/>
        </w:rPr>
      </w:r>
    </w:p>
    <w:p w:rsidR="00000000" w:rsidDel="00000000" w:rsidP="00000000" w:rsidRDefault="00000000" w:rsidRPr="00000000" w14:paraId="0000005D">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0"/>
          <w:smallCaps w:val="0"/>
          <w:strike w:val="0"/>
          <w:sz w:val="20"/>
          <w:szCs w:val="20"/>
          <w:shd w:fill="auto" w:val="clear"/>
          <w:vertAlign w:val="baseline"/>
        </w:rPr>
      </w:pPr>
      <w:r w:rsidDel="00000000" w:rsidR="00000000" w:rsidRPr="00000000">
        <w:rPr>
          <w:b w:val="1"/>
          <w:i w:val="1"/>
          <w:smallCaps w:val="0"/>
          <w:strike w:val="0"/>
          <w:color w:val="000000"/>
          <w:sz w:val="20"/>
          <w:szCs w:val="20"/>
          <w:u w:val="none"/>
          <w:shd w:fill="auto" w:val="clear"/>
          <w:vertAlign w:val="baseline"/>
          <w:rtl w:val="0"/>
        </w:rPr>
        <w:t xml:space="preserve">Switching costs: </w:t>
      </w:r>
      <w:r w:rsidDel="00000000" w:rsidR="00000000" w:rsidRPr="00000000">
        <w:rPr>
          <w:sz w:val="20"/>
          <w:szCs w:val="20"/>
          <w:rtl w:val="0"/>
        </w:rPr>
        <w:t xml:space="preserve">High, with emotional and status-based costs due to strong brand loyalty</w:t>
      </w:r>
      <w:r w:rsidDel="00000000" w:rsidR="00000000" w:rsidRPr="00000000">
        <w:rPr>
          <w:smallCaps w:val="0"/>
          <w:strike w:val="0"/>
          <w:color w:val="000000"/>
          <w:sz w:val="20"/>
          <w:szCs w:val="20"/>
          <w:u w:val="none"/>
          <w:shd w:fill="auto" w:val="clear"/>
          <w:vertAlign w:val="baseline"/>
          <w:rtl w:val="0"/>
        </w:rPr>
        <w:t xml:space="preserve">, club memberships, and customer experiences.</w:t>
      </w:r>
      <w:r w:rsidDel="00000000" w:rsidR="00000000" w:rsidRPr="00000000">
        <w:rPr>
          <w:rtl w:val="0"/>
        </w:rPr>
      </w:r>
    </w:p>
    <w:p w:rsidR="00000000" w:rsidDel="00000000" w:rsidP="00000000" w:rsidRDefault="00000000" w:rsidRPr="00000000" w14:paraId="0000005E">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0"/>
          <w:smallCaps w:val="0"/>
          <w:strike w:val="0"/>
          <w:sz w:val="20"/>
          <w:szCs w:val="20"/>
          <w:shd w:fill="auto" w:val="clear"/>
          <w:vertAlign w:val="baseline"/>
        </w:rPr>
      </w:pPr>
      <w:r w:rsidDel="00000000" w:rsidR="00000000" w:rsidRPr="00000000">
        <w:rPr>
          <w:b w:val="1"/>
          <w:i w:val="1"/>
          <w:smallCaps w:val="0"/>
          <w:strike w:val="0"/>
          <w:color w:val="000000"/>
          <w:sz w:val="20"/>
          <w:szCs w:val="20"/>
          <w:u w:val="none"/>
          <w:shd w:fill="auto" w:val="clear"/>
          <w:vertAlign w:val="baseline"/>
          <w:rtl w:val="0"/>
        </w:rPr>
        <w:t xml:space="preserve">Branding: </w:t>
      </w:r>
      <w:r w:rsidDel="00000000" w:rsidR="00000000" w:rsidRPr="00000000">
        <w:rPr>
          <w:smallCaps w:val="0"/>
          <w:strike w:val="0"/>
          <w:color w:val="000000"/>
          <w:sz w:val="20"/>
          <w:szCs w:val="20"/>
          <w:u w:val="none"/>
          <w:shd w:fill="auto" w:val="clear"/>
          <w:vertAlign w:val="baseline"/>
          <w:rtl w:val="0"/>
        </w:rPr>
        <w:t xml:space="preserve">Strongest power for Ferrari; the brand is synonymous with luxury, performance, and prestige, which justifies premium pricing and creates a loyal customer base less sensitive to price. </w:t>
      </w:r>
      <w:r w:rsidDel="00000000" w:rsidR="00000000" w:rsidRPr="00000000">
        <w:rPr>
          <w:rtl w:val="0"/>
        </w:rPr>
      </w:r>
    </w:p>
    <w:p w:rsidR="00000000" w:rsidDel="00000000" w:rsidP="00000000" w:rsidRDefault="00000000" w:rsidRPr="00000000" w14:paraId="0000005F">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0"/>
          <w:smallCaps w:val="0"/>
          <w:strike w:val="0"/>
          <w:sz w:val="20"/>
          <w:szCs w:val="20"/>
          <w:shd w:fill="auto" w:val="clear"/>
          <w:vertAlign w:val="baseline"/>
        </w:rPr>
      </w:pPr>
      <w:r w:rsidDel="00000000" w:rsidR="00000000" w:rsidRPr="00000000">
        <w:rPr>
          <w:b w:val="1"/>
          <w:i w:val="1"/>
          <w:smallCaps w:val="0"/>
          <w:strike w:val="0"/>
          <w:color w:val="000000"/>
          <w:sz w:val="20"/>
          <w:szCs w:val="20"/>
          <w:u w:val="none"/>
          <w:shd w:fill="auto" w:val="clear"/>
          <w:vertAlign w:val="baseline"/>
          <w:rtl w:val="0"/>
        </w:rPr>
        <w:t xml:space="preserve">Cornered resource:</w:t>
      </w:r>
      <w:r w:rsidDel="00000000" w:rsidR="00000000" w:rsidRPr="00000000">
        <w:rPr>
          <w:b w:val="1"/>
          <w:i w:val="1"/>
          <w:smallCaps w:val="0"/>
          <w:strike w:val="0"/>
          <w:color w:val="000000"/>
          <w:sz w:val="20"/>
          <w:szCs w:val="20"/>
          <w:u w:val="none"/>
          <w:shd w:fill="auto" w:val="clear"/>
          <w:vertAlign w:val="baseline"/>
          <w:rtl w:val="0"/>
        </w:rPr>
        <w:t xml:space="preserve"> </w:t>
      </w:r>
      <w:r w:rsidDel="00000000" w:rsidR="00000000" w:rsidRPr="00000000">
        <w:rPr>
          <w:color w:val="1c2b33"/>
          <w:sz w:val="20"/>
          <w:szCs w:val="20"/>
          <w:highlight w:val="white"/>
          <w:rtl w:val="0"/>
        </w:rPr>
        <w:t xml:space="preserve">N/A</w:t>
      </w:r>
    </w:p>
    <w:p w:rsidR="00000000" w:rsidDel="00000000" w:rsidP="00000000" w:rsidRDefault="00000000" w:rsidRPr="00000000" w14:paraId="00000060">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0"/>
          <w:smallCaps w:val="0"/>
          <w:strike w:val="0"/>
          <w:sz w:val="20"/>
          <w:szCs w:val="20"/>
          <w:shd w:fill="auto" w:val="clear"/>
          <w:vertAlign w:val="baseline"/>
        </w:rPr>
      </w:pPr>
      <w:r w:rsidDel="00000000" w:rsidR="00000000" w:rsidRPr="00000000">
        <w:rPr>
          <w:b w:val="1"/>
          <w:i w:val="1"/>
          <w:smallCaps w:val="0"/>
          <w:strike w:val="0"/>
          <w:color w:val="000000"/>
          <w:sz w:val="20"/>
          <w:szCs w:val="20"/>
          <w:u w:val="none"/>
          <w:shd w:fill="auto" w:val="clear"/>
          <w:vertAlign w:val="baseline"/>
          <w:rtl w:val="0"/>
        </w:rPr>
        <w:t xml:space="preserve">Process power: </w:t>
      </w:r>
      <w:r w:rsidDel="00000000" w:rsidR="00000000" w:rsidRPr="00000000">
        <w:rPr>
          <w:sz w:val="20"/>
          <w:szCs w:val="20"/>
          <w:rtl w:val="0"/>
        </w:rPr>
        <w:t xml:space="preserve">High, as Ferrari effectively manages limited production to enhance profitability with minimal operational cost increases.</w:t>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color w:val="38761d"/>
          <w:sz w:val="20"/>
          <w:szCs w:val="20"/>
        </w:rPr>
      </w:pPr>
      <w:r w:rsidDel="00000000" w:rsidR="00000000" w:rsidRPr="00000000">
        <w:rPr>
          <w:rtl w:val="0"/>
        </w:rPr>
      </w:r>
    </w:p>
    <w:p w:rsidR="00000000" w:rsidDel="00000000" w:rsidP="00000000" w:rsidRDefault="00000000" w:rsidRPr="00000000" w14:paraId="00000062">
      <w:pPr>
        <w:spacing w:after="0" w:lineRule="auto"/>
        <w:rPr>
          <w:sz w:val="20"/>
          <w:szCs w:val="20"/>
        </w:rPr>
      </w:pPr>
      <w:r w:rsidDel="00000000" w:rsidR="00000000" w:rsidRPr="00000000">
        <w:rPr>
          <w:rtl w:val="0"/>
        </w:rPr>
      </w:r>
    </w:p>
    <w:p w:rsidR="00000000" w:rsidDel="00000000" w:rsidP="00000000" w:rsidRDefault="00000000" w:rsidRPr="00000000" w14:paraId="00000063">
      <w:pPr>
        <w:spacing w:after="0" w:lineRule="auto"/>
        <w:rPr>
          <w:sz w:val="20"/>
          <w:szCs w:val="20"/>
        </w:rPr>
      </w:pPr>
      <w:r w:rsidDel="00000000" w:rsidR="00000000" w:rsidRPr="00000000">
        <w:rPr>
          <w:rtl w:val="0"/>
        </w:rPr>
      </w:r>
    </w:p>
    <w:p w:rsidR="00000000" w:rsidDel="00000000" w:rsidP="00000000" w:rsidRDefault="00000000" w:rsidRPr="00000000" w14:paraId="00000064">
      <w:pPr>
        <w:spacing w:after="0" w:lineRule="auto"/>
        <w:rPr>
          <w:sz w:val="20"/>
          <w:szCs w:val="20"/>
        </w:rPr>
      </w:pPr>
      <w:r w:rsidDel="00000000" w:rsidR="00000000" w:rsidRPr="00000000">
        <w:rPr>
          <w:rtl w:val="0"/>
        </w:rPr>
      </w:r>
    </w:p>
    <w:p w:rsidR="00000000" w:rsidDel="00000000" w:rsidP="00000000" w:rsidRDefault="00000000" w:rsidRPr="00000000" w14:paraId="00000065">
      <w:pPr>
        <w:shd w:fill="0d0d0d" w:val="clear"/>
        <w:tabs>
          <w:tab w:val="right" w:leader="none" w:pos="10224"/>
        </w:tabs>
        <w:spacing w:after="0" w:lineRule="auto"/>
        <w:rPr>
          <w:color w:val="ffffff"/>
          <w:sz w:val="20"/>
          <w:szCs w:val="20"/>
        </w:rPr>
      </w:pPr>
      <w:r w:rsidDel="00000000" w:rsidR="00000000" w:rsidRPr="00000000">
        <w:rPr>
          <w:color w:val="ffffff"/>
          <w:sz w:val="20"/>
          <w:szCs w:val="20"/>
          <w:rtl w:val="0"/>
        </w:rPr>
        <w:t xml:space="preserve">Valuation</w:t>
      </w:r>
    </w:p>
    <w:p w:rsidR="00000000" w:rsidDel="00000000" w:rsidP="00000000" w:rsidRDefault="00000000" w:rsidRPr="00000000" w14:paraId="00000066">
      <w:pPr>
        <w:rPr>
          <w:b w:val="1"/>
          <w:sz w:val="20"/>
          <w:szCs w:val="20"/>
          <w:u w:val="single"/>
        </w:rPr>
      </w:pPr>
      <w:r w:rsidDel="00000000" w:rsidR="00000000" w:rsidRPr="00000000">
        <w:rPr>
          <w:rtl w:val="0"/>
        </w:rPr>
      </w:r>
    </w:p>
    <w:p w:rsidR="00000000" w:rsidDel="00000000" w:rsidP="00000000" w:rsidRDefault="00000000" w:rsidRPr="00000000" w14:paraId="00000067">
      <w:pPr>
        <w:rPr>
          <w:color w:val="1c2b33"/>
          <w:sz w:val="20"/>
          <w:szCs w:val="20"/>
        </w:rPr>
      </w:pPr>
      <w:r w:rsidDel="00000000" w:rsidR="00000000" w:rsidRPr="00000000">
        <w:rPr>
          <w:b w:val="1"/>
          <w:sz w:val="20"/>
          <w:szCs w:val="20"/>
          <w:u w:val="single"/>
          <w:rtl w:val="0"/>
        </w:rPr>
        <w:t xml:space="preserve">Management guidance:</w:t>
      </w:r>
      <w:r w:rsidDel="00000000" w:rsidR="00000000" w:rsidRPr="00000000">
        <w:rPr>
          <w:rtl w:val="0"/>
        </w:rPr>
      </w:r>
    </w:p>
    <w:p w:rsidR="00000000" w:rsidDel="00000000" w:rsidP="00000000" w:rsidRDefault="00000000" w:rsidRPr="00000000" w14:paraId="00000068">
      <w:pPr>
        <w:shd w:fill="ffffff" w:val="clear"/>
        <w:spacing w:after="0" w:lineRule="auto"/>
        <w:rPr>
          <w:color w:val="1c2b33"/>
          <w:sz w:val="20"/>
          <w:szCs w:val="20"/>
        </w:rPr>
      </w:pPr>
      <w:r w:rsidDel="00000000" w:rsidR="00000000" w:rsidRPr="00000000">
        <w:rPr>
          <w:color w:val="1c2b33"/>
          <w:sz w:val="20"/>
          <w:szCs w:val="20"/>
          <w:rtl w:val="0"/>
        </w:rPr>
        <w:t xml:space="preserve">Ferrari's management has provided optimistic guidance for 2024, driven by:</w:t>
      </w:r>
    </w:p>
    <w:p w:rsidR="00000000" w:rsidDel="00000000" w:rsidP="00000000" w:rsidRDefault="00000000" w:rsidRPr="00000000" w14:paraId="00000069">
      <w:pPr>
        <w:numPr>
          <w:ilvl w:val="0"/>
          <w:numId w:val="3"/>
        </w:numPr>
        <w:spacing w:after="0" w:afterAutospacing="0" w:before="0" w:lineRule="auto"/>
        <w:ind w:left="720" w:hanging="360"/>
        <w:rPr>
          <w:sz w:val="20"/>
          <w:szCs w:val="20"/>
        </w:rPr>
      </w:pPr>
      <w:r w:rsidDel="00000000" w:rsidR="00000000" w:rsidRPr="00000000">
        <w:rPr>
          <w:color w:val="1c2b33"/>
          <w:sz w:val="20"/>
          <w:szCs w:val="20"/>
          <w:highlight w:val="white"/>
          <w:rtl w:val="0"/>
        </w:rPr>
        <w:t xml:space="preserve">Strong product mix and personalizations, expected to drive revenue growth of at least 7% to €6.4 billion or higher</w:t>
      </w:r>
    </w:p>
    <w:p w:rsidR="00000000" w:rsidDel="00000000" w:rsidP="00000000" w:rsidRDefault="00000000" w:rsidRPr="00000000" w14:paraId="0000006A">
      <w:pPr>
        <w:numPr>
          <w:ilvl w:val="0"/>
          <w:numId w:val="3"/>
        </w:numPr>
        <w:spacing w:after="0" w:afterAutospacing="0" w:before="0" w:beforeAutospacing="0" w:lineRule="auto"/>
        <w:ind w:left="720" w:hanging="360"/>
        <w:rPr>
          <w:sz w:val="20"/>
          <w:szCs w:val="20"/>
        </w:rPr>
      </w:pPr>
      <w:r w:rsidDel="00000000" w:rsidR="00000000" w:rsidRPr="00000000">
        <w:rPr>
          <w:color w:val="1c2b33"/>
          <w:sz w:val="20"/>
          <w:szCs w:val="20"/>
          <w:highlight w:val="white"/>
          <w:rtl w:val="0"/>
        </w:rPr>
        <w:t xml:space="preserve">Robust brand investments, aimed at maintaining premium positioning, with a planned increase of 10% in brand expenses</w:t>
      </w:r>
    </w:p>
    <w:p w:rsidR="00000000" w:rsidDel="00000000" w:rsidP="00000000" w:rsidRDefault="00000000" w:rsidRPr="00000000" w14:paraId="0000006B">
      <w:pPr>
        <w:numPr>
          <w:ilvl w:val="0"/>
          <w:numId w:val="3"/>
        </w:numPr>
        <w:spacing w:after="0" w:afterAutospacing="0" w:before="0" w:beforeAutospacing="0" w:lineRule="auto"/>
        <w:ind w:left="720" w:hanging="360"/>
        <w:rPr>
          <w:sz w:val="20"/>
          <w:szCs w:val="20"/>
        </w:rPr>
      </w:pPr>
      <w:r w:rsidDel="00000000" w:rsidR="00000000" w:rsidRPr="00000000">
        <w:rPr>
          <w:color w:val="1c2b33"/>
          <w:sz w:val="20"/>
          <w:szCs w:val="20"/>
          <w:highlight w:val="white"/>
          <w:rtl w:val="0"/>
        </w:rPr>
        <w:t xml:space="preserve">Efficient cost management, despite persistent inflationary pressures, with a target of maintaining a flat operating expense ratio</w:t>
      </w:r>
    </w:p>
    <w:p w:rsidR="00000000" w:rsidDel="00000000" w:rsidP="00000000" w:rsidRDefault="00000000" w:rsidRPr="00000000" w14:paraId="0000006C">
      <w:pPr>
        <w:numPr>
          <w:ilvl w:val="0"/>
          <w:numId w:val="3"/>
        </w:numPr>
        <w:spacing w:after="0" w:before="0" w:lineRule="auto"/>
        <w:ind w:left="720" w:hanging="360"/>
        <w:rPr>
          <w:sz w:val="20"/>
          <w:szCs w:val="20"/>
        </w:rPr>
      </w:pPr>
      <w:r w:rsidDel="00000000" w:rsidR="00000000" w:rsidRPr="00000000">
        <w:rPr>
          <w:color w:val="1c2b33"/>
          <w:sz w:val="20"/>
          <w:szCs w:val="20"/>
          <w:highlight w:val="white"/>
          <w:rtl w:val="0"/>
        </w:rPr>
        <w:t xml:space="preserve">Significant investments in hybrid and electric vehicles, aligning with industry trends, with a goal of hybrid models constituting nearly half of total shipments</w:t>
      </w:r>
    </w:p>
    <w:p w:rsidR="00000000" w:rsidDel="00000000" w:rsidP="00000000" w:rsidRDefault="00000000" w:rsidRPr="00000000" w14:paraId="0000006D">
      <w:pPr>
        <w:shd w:fill="ffffff" w:val="clear"/>
        <w:spacing w:after="240" w:lineRule="auto"/>
        <w:rPr>
          <w:sz w:val="20"/>
          <w:szCs w:val="20"/>
          <w:vertAlign w:val="superscript"/>
        </w:rPr>
      </w:pPr>
      <w:r w:rsidDel="00000000" w:rsidR="00000000" w:rsidRPr="00000000">
        <w:rPr>
          <w:color w:val="1c2b33"/>
          <w:sz w:val="20"/>
          <w:szCs w:val="20"/>
          <w:rtl w:val="0"/>
        </w:rPr>
        <w:t xml:space="preserve">Management expects adjusted EBIT and EBITDA margins to remain strong, at 27% and 38%, respectively, despite increased capital expenditures of €700-750 million and higher tax payments, leading to adjusted diluted EPS growth of at least 9%.</w:t>
      </w:r>
      <w:r w:rsidDel="00000000" w:rsidR="00000000" w:rsidRPr="00000000">
        <w:rPr>
          <w:sz w:val="20"/>
          <w:szCs w:val="20"/>
          <w:vertAlign w:val="superscript"/>
        </w:rPr>
        <w:footnoteReference w:customMarkFollows="0" w:id="12"/>
      </w: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pStyle w:val="Heading2"/>
        <w:rPr>
          <w:color w:val="000000"/>
          <w:sz w:val="22"/>
          <w:szCs w:val="22"/>
        </w:rPr>
      </w:pPr>
      <w:r w:rsidDel="00000000" w:rsidR="00000000" w:rsidRPr="00000000">
        <w:rPr>
          <w:rtl w:val="0"/>
        </w:rPr>
      </w:r>
    </w:p>
    <w:p w:rsidR="00000000" w:rsidDel="00000000" w:rsidP="00000000" w:rsidRDefault="00000000" w:rsidRPr="00000000" w14:paraId="00000070">
      <w:pPr>
        <w:pStyle w:val="Heading2"/>
        <w:rPr>
          <w:rFonts w:ascii="Calibri" w:cs="Calibri" w:eastAsia="Calibri" w:hAnsi="Calibri"/>
          <w:b w:val="0"/>
          <w:color w:val="0070c0"/>
          <w:sz w:val="22"/>
          <w:szCs w:val="22"/>
        </w:rPr>
      </w:pPr>
      <w:r w:rsidDel="00000000" w:rsidR="00000000" w:rsidRPr="00000000">
        <w:rPr>
          <w:rFonts w:ascii="Calibri" w:cs="Calibri" w:eastAsia="Calibri" w:hAnsi="Calibri"/>
          <w:color w:val="000000"/>
          <w:sz w:val="22"/>
          <w:szCs w:val="22"/>
          <w:rtl w:val="0"/>
        </w:rPr>
        <w:t xml:space="preserve">Assumptions: </w:t>
      </w:r>
      <w:r w:rsidDel="00000000" w:rsidR="00000000" w:rsidRPr="00000000">
        <w:rPr>
          <w:rtl w:val="0"/>
        </w:rPr>
      </w:r>
    </w:p>
    <w:tbl>
      <w:tblPr>
        <w:tblStyle w:val="Table2"/>
        <w:tblW w:w="1006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65"/>
        <w:gridCol w:w="2805"/>
        <w:gridCol w:w="2970"/>
        <w:gridCol w:w="2925"/>
        <w:tblGridChange w:id="0">
          <w:tblGrid>
            <w:gridCol w:w="1365"/>
            <w:gridCol w:w="2805"/>
            <w:gridCol w:w="2970"/>
            <w:gridCol w:w="2925"/>
          </w:tblGrid>
        </w:tblGridChange>
      </w:tblGrid>
      <w:tr>
        <w:trPr>
          <w:cantSplit w:val="0"/>
          <w:tblHeader w:val="0"/>
        </w:trPr>
        <w:tc>
          <w:tcPr/>
          <w:p w:rsidR="00000000" w:rsidDel="00000000" w:rsidP="00000000" w:rsidRDefault="00000000" w:rsidRPr="00000000" w14:paraId="00000071">
            <w:pPr>
              <w:rPr>
                <w:sz w:val="20"/>
                <w:szCs w:val="20"/>
              </w:rPr>
            </w:pPr>
            <w:bookmarkStart w:colFirst="0" w:colLast="0" w:name="_gjdgxs" w:id="0"/>
            <w:bookmarkEnd w:id="0"/>
            <w:r w:rsidDel="00000000" w:rsidR="00000000" w:rsidRPr="00000000">
              <w:rPr>
                <w:rtl w:val="0"/>
              </w:rPr>
            </w:r>
          </w:p>
        </w:tc>
        <w:tc>
          <w:tcPr/>
          <w:p w:rsidR="00000000" w:rsidDel="00000000" w:rsidP="00000000" w:rsidRDefault="00000000" w:rsidRPr="00000000" w14:paraId="00000072">
            <w:pPr>
              <w:rPr>
                <w:sz w:val="20"/>
                <w:szCs w:val="20"/>
              </w:rPr>
            </w:pPr>
            <w:r w:rsidDel="00000000" w:rsidR="00000000" w:rsidRPr="00000000">
              <w:rPr>
                <w:sz w:val="20"/>
                <w:szCs w:val="20"/>
                <w:rtl w:val="0"/>
              </w:rPr>
              <w:t xml:space="preserve">Base</w:t>
            </w:r>
          </w:p>
        </w:tc>
        <w:tc>
          <w:tcPr/>
          <w:p w:rsidR="00000000" w:rsidDel="00000000" w:rsidP="00000000" w:rsidRDefault="00000000" w:rsidRPr="00000000" w14:paraId="00000073">
            <w:pPr>
              <w:rPr>
                <w:sz w:val="20"/>
                <w:szCs w:val="20"/>
              </w:rPr>
            </w:pPr>
            <w:r w:rsidDel="00000000" w:rsidR="00000000" w:rsidRPr="00000000">
              <w:rPr>
                <w:sz w:val="20"/>
                <w:szCs w:val="20"/>
                <w:rtl w:val="0"/>
              </w:rPr>
              <w:t xml:space="preserve">Downside</w:t>
            </w:r>
          </w:p>
        </w:tc>
        <w:tc>
          <w:tcPr/>
          <w:p w:rsidR="00000000" w:rsidDel="00000000" w:rsidP="00000000" w:rsidRDefault="00000000" w:rsidRPr="00000000" w14:paraId="00000074">
            <w:pPr>
              <w:rPr>
                <w:sz w:val="20"/>
                <w:szCs w:val="20"/>
              </w:rPr>
            </w:pPr>
            <w:r w:rsidDel="00000000" w:rsidR="00000000" w:rsidRPr="00000000">
              <w:rPr>
                <w:sz w:val="20"/>
                <w:szCs w:val="20"/>
                <w:rtl w:val="0"/>
              </w:rPr>
              <w:t xml:space="preserve">Upside</w:t>
            </w:r>
          </w:p>
        </w:tc>
      </w:tr>
      <w:tr>
        <w:trPr>
          <w:cantSplit w:val="0"/>
          <w:tblHeader w:val="0"/>
        </w:trPr>
        <w:tc>
          <w:tcPr/>
          <w:p w:rsidR="00000000" w:rsidDel="00000000" w:rsidP="00000000" w:rsidRDefault="00000000" w:rsidRPr="00000000" w14:paraId="00000075">
            <w:pPr>
              <w:rPr>
                <w:sz w:val="20"/>
                <w:szCs w:val="20"/>
              </w:rPr>
            </w:pPr>
            <w:r w:rsidDel="00000000" w:rsidR="00000000" w:rsidRPr="00000000">
              <w:rPr>
                <w:sz w:val="20"/>
                <w:szCs w:val="20"/>
                <w:rtl w:val="0"/>
              </w:rPr>
              <w:t xml:space="preserve">Revenue</w:t>
            </w:r>
          </w:p>
        </w:tc>
        <w:tc>
          <w:tcPr>
            <w:tcBorders>
              <w:top w:color="000000" w:space="0" w:sz="3" w:val="single"/>
              <w:left w:color="000000" w:space="0" w:sz="3" w:val="single"/>
              <w:bottom w:color="000000" w:space="0" w:sz="3" w:val="single"/>
              <w:right w:color="000000" w:space="0" w:sz="3" w:val="single"/>
            </w:tcBorders>
            <w:shd w:fill="ffffff" w:val="clear"/>
            <w:tcMar>
              <w:top w:w="20.0" w:type="dxa"/>
              <w:left w:w="20.0" w:type="dxa"/>
              <w:bottom w:w="100.0" w:type="dxa"/>
              <w:right w:w="20.0" w:type="dxa"/>
            </w:tcMar>
            <w:vAlign w:val="top"/>
          </w:tcPr>
          <w:p w:rsidR="00000000" w:rsidDel="00000000" w:rsidP="00000000" w:rsidRDefault="00000000" w:rsidRPr="00000000" w14:paraId="00000076">
            <w:pPr>
              <w:rPr>
                <w:sz w:val="20"/>
                <w:szCs w:val="20"/>
              </w:rPr>
            </w:pPr>
            <w:r w:rsidDel="00000000" w:rsidR="00000000" w:rsidRPr="00000000">
              <w:rPr>
                <w:b w:val="1"/>
                <w:sz w:val="20"/>
                <w:szCs w:val="20"/>
                <w:rtl w:val="0"/>
              </w:rPr>
              <w:t xml:space="preserve">2024: </w:t>
            </w:r>
            <w:r w:rsidDel="00000000" w:rsidR="00000000" w:rsidRPr="00000000">
              <w:rPr>
                <w:sz w:val="20"/>
                <w:szCs w:val="20"/>
                <w:rtl w:val="0"/>
              </w:rPr>
              <w:t xml:space="preserve">Expect a drop in revenue growth compared with post-Covid numbers, due to slower adoption of new electric vehicles and ongoing economic and regulatory pressures. </w:t>
              <w:br w:type="textWrapping"/>
            </w:r>
            <w:r w:rsidDel="00000000" w:rsidR="00000000" w:rsidRPr="00000000">
              <w:rPr>
                <w:b w:val="1"/>
                <w:sz w:val="20"/>
                <w:szCs w:val="20"/>
                <w:rtl w:val="0"/>
              </w:rPr>
              <w:t xml:space="preserve">2025/2026: </w:t>
            </w:r>
            <w:r w:rsidDel="00000000" w:rsidR="00000000" w:rsidRPr="00000000">
              <w:rPr>
                <w:sz w:val="20"/>
                <w:szCs w:val="20"/>
                <w:rtl w:val="0"/>
              </w:rPr>
              <w:t xml:space="preserve">Expect an increase in market acceptance of new models/technologies.</w:t>
            </w:r>
          </w:p>
        </w:tc>
        <w:tc>
          <w:tcPr>
            <w:tcBorders>
              <w:top w:color="000000" w:space="0" w:sz="3" w:val="single"/>
              <w:left w:color="000000" w:space="0" w:sz="3" w:val="single"/>
              <w:bottom w:color="000000" w:space="0" w:sz="3" w:val="single"/>
              <w:right w:color="000000" w:space="0" w:sz="3" w:val="single"/>
            </w:tcBorders>
            <w:shd w:fill="ffffff" w:val="clear"/>
            <w:tcMar>
              <w:top w:w="20.0" w:type="dxa"/>
              <w:left w:w="20.0" w:type="dxa"/>
              <w:bottom w:w="100.0" w:type="dxa"/>
              <w:right w:w="20.0" w:type="dxa"/>
            </w:tcMar>
            <w:vAlign w:val="top"/>
          </w:tcPr>
          <w:p w:rsidR="00000000" w:rsidDel="00000000" w:rsidP="00000000" w:rsidRDefault="00000000" w:rsidRPr="00000000" w14:paraId="00000077">
            <w:pPr>
              <w:spacing w:after="160" w:line="259" w:lineRule="auto"/>
              <w:rPr>
                <w:sz w:val="20"/>
                <w:szCs w:val="20"/>
              </w:rPr>
            </w:pPr>
            <w:r w:rsidDel="00000000" w:rsidR="00000000" w:rsidRPr="00000000">
              <w:rPr>
                <w:b w:val="1"/>
                <w:sz w:val="20"/>
                <w:szCs w:val="20"/>
                <w:rtl w:val="0"/>
              </w:rPr>
              <w:t xml:space="preserve">2024: </w:t>
            </w:r>
            <w:r w:rsidDel="00000000" w:rsidR="00000000" w:rsidRPr="00000000">
              <w:rPr>
                <w:sz w:val="20"/>
                <w:szCs w:val="20"/>
                <w:rtl w:val="0"/>
              </w:rPr>
              <w:t xml:space="preserve">Expect a larger drop in revenue growth due to the depreciation in electric vehicles discouraging sales and ongoing economic and regulatory pressures. </w:t>
            </w:r>
            <w:r w:rsidDel="00000000" w:rsidR="00000000" w:rsidRPr="00000000">
              <w:rPr>
                <w:b w:val="1"/>
                <w:sz w:val="20"/>
                <w:szCs w:val="20"/>
                <w:rtl w:val="0"/>
              </w:rPr>
              <w:t xml:space="preserve">2025/2026: </w:t>
            </w:r>
            <w:r w:rsidDel="00000000" w:rsidR="00000000" w:rsidRPr="00000000">
              <w:rPr>
                <w:sz w:val="20"/>
                <w:szCs w:val="20"/>
                <w:rtl w:val="0"/>
              </w:rPr>
              <w:t xml:space="preserve">Remain the same growth rate as 2024 due to lack of market acceptance of new models/technologies.</w:t>
            </w:r>
            <w:r w:rsidDel="00000000" w:rsidR="00000000" w:rsidRPr="00000000">
              <w:rPr>
                <w:rtl w:val="0"/>
              </w:rPr>
            </w:r>
          </w:p>
        </w:tc>
        <w:tc>
          <w:tcPr>
            <w:tcBorders>
              <w:top w:color="000000" w:space="0" w:sz="3" w:val="single"/>
              <w:left w:color="000000" w:space="0" w:sz="3" w:val="single"/>
              <w:bottom w:color="000000" w:space="0" w:sz="3" w:val="single"/>
              <w:right w:color="000000" w:space="0" w:sz="3" w:val="single"/>
            </w:tcBorders>
            <w:shd w:fill="ffffff" w:val="clear"/>
            <w:tcMar>
              <w:top w:w="20.0" w:type="dxa"/>
              <w:left w:w="20.0" w:type="dxa"/>
              <w:bottom w:w="100.0" w:type="dxa"/>
              <w:right w:w="20.0" w:type="dxa"/>
            </w:tcMar>
            <w:vAlign w:val="top"/>
          </w:tcPr>
          <w:p w:rsidR="00000000" w:rsidDel="00000000" w:rsidP="00000000" w:rsidRDefault="00000000" w:rsidRPr="00000000" w14:paraId="00000078">
            <w:pPr>
              <w:rPr>
                <w:sz w:val="20"/>
                <w:szCs w:val="20"/>
              </w:rPr>
            </w:pPr>
            <w:r w:rsidDel="00000000" w:rsidR="00000000" w:rsidRPr="00000000">
              <w:rPr>
                <w:b w:val="1"/>
                <w:sz w:val="20"/>
                <w:szCs w:val="20"/>
                <w:rtl w:val="0"/>
              </w:rPr>
              <w:t xml:space="preserve">2024</w:t>
            </w:r>
            <w:r w:rsidDel="00000000" w:rsidR="00000000" w:rsidRPr="00000000">
              <w:rPr>
                <w:sz w:val="20"/>
                <w:szCs w:val="20"/>
                <w:rtl w:val="0"/>
              </w:rPr>
              <w:t xml:space="preserve">: Expect a robust 10% revenue growth rate due to successful penetration in new markets and product lines (BEVs and SUVs). </w:t>
            </w:r>
            <w:r w:rsidDel="00000000" w:rsidR="00000000" w:rsidRPr="00000000">
              <w:rPr>
                <w:b w:val="1"/>
                <w:sz w:val="20"/>
                <w:szCs w:val="20"/>
                <w:rtl w:val="0"/>
              </w:rPr>
              <w:t xml:space="preserve">2025/2026</w:t>
            </w:r>
            <w:r w:rsidDel="00000000" w:rsidR="00000000" w:rsidRPr="00000000">
              <w:rPr>
                <w:sz w:val="20"/>
                <w:szCs w:val="20"/>
                <w:rtl w:val="0"/>
              </w:rPr>
              <w:t xml:space="preserve">: Growth accelerates to 11% due to continued acceptance of new models, expansion into new markets, and increased personalization options.</w:t>
            </w:r>
          </w:p>
        </w:tc>
      </w:tr>
      <w:tr>
        <w:trPr>
          <w:cantSplit w:val="0"/>
          <w:tblHeader w:val="0"/>
        </w:trPr>
        <w:tc>
          <w:tcPr/>
          <w:p w:rsidR="00000000" w:rsidDel="00000000" w:rsidP="00000000" w:rsidRDefault="00000000" w:rsidRPr="00000000" w14:paraId="00000079">
            <w:pPr>
              <w:rPr>
                <w:sz w:val="20"/>
                <w:szCs w:val="20"/>
              </w:rPr>
            </w:pPr>
            <w:r w:rsidDel="00000000" w:rsidR="00000000" w:rsidRPr="00000000">
              <w:rPr>
                <w:sz w:val="20"/>
                <w:szCs w:val="20"/>
                <w:rtl w:val="0"/>
              </w:rPr>
              <w:t xml:space="preserve">EBITDA Margin</w:t>
            </w:r>
          </w:p>
        </w:tc>
        <w:tc>
          <w:tcPr>
            <w:tcBorders>
              <w:top w:color="000000" w:space="0" w:sz="3" w:val="single"/>
              <w:left w:color="000000" w:space="0" w:sz="3" w:val="single"/>
              <w:bottom w:color="000000" w:space="0" w:sz="3" w:val="single"/>
              <w:right w:color="000000" w:space="0" w:sz="3" w:val="single"/>
            </w:tcBorders>
            <w:shd w:fill="ffffff" w:val="clear"/>
            <w:tcMar>
              <w:top w:w="20.0" w:type="dxa"/>
              <w:left w:w="20.0" w:type="dxa"/>
              <w:bottom w:w="100.0" w:type="dxa"/>
              <w:right w:w="20.0" w:type="dxa"/>
            </w:tcMar>
            <w:vAlign w:val="top"/>
          </w:tcPr>
          <w:p w:rsidR="00000000" w:rsidDel="00000000" w:rsidP="00000000" w:rsidRDefault="00000000" w:rsidRPr="00000000" w14:paraId="0000007A">
            <w:pPr>
              <w:rPr>
                <w:sz w:val="20"/>
                <w:szCs w:val="20"/>
              </w:rPr>
            </w:pPr>
            <w:r w:rsidDel="00000000" w:rsidR="00000000" w:rsidRPr="00000000">
              <w:rPr>
                <w:b w:val="1"/>
                <w:sz w:val="20"/>
                <w:szCs w:val="20"/>
                <w:rtl w:val="0"/>
              </w:rPr>
              <w:t xml:space="preserve">2024: </w:t>
            </w:r>
            <w:r w:rsidDel="00000000" w:rsidR="00000000" w:rsidRPr="00000000">
              <w:rPr>
                <w:sz w:val="20"/>
                <w:szCs w:val="20"/>
                <w:rtl w:val="0"/>
              </w:rPr>
              <w:t xml:space="preserve">33%, reflecting initial gains from recent strategic shifts, including model lineup expansion and a push towards EV. </w:t>
            </w:r>
            <w:r w:rsidDel="00000000" w:rsidR="00000000" w:rsidRPr="00000000">
              <w:rPr>
                <w:b w:val="1"/>
                <w:sz w:val="20"/>
                <w:szCs w:val="20"/>
                <w:rtl w:val="0"/>
              </w:rPr>
              <w:t xml:space="preserve">2025/2026: </w:t>
            </w:r>
            <w:r w:rsidDel="00000000" w:rsidR="00000000" w:rsidRPr="00000000">
              <w:rPr>
                <w:sz w:val="20"/>
                <w:szCs w:val="20"/>
                <w:rtl w:val="0"/>
              </w:rPr>
              <w:t xml:space="preserve">Balances benefits from previous investments with rising costs of new strategies.</w:t>
            </w:r>
          </w:p>
        </w:tc>
        <w:tc>
          <w:tcPr>
            <w:tcBorders>
              <w:top w:color="000000" w:space="0" w:sz="3" w:val="single"/>
              <w:left w:color="000000" w:space="0" w:sz="3" w:val="single"/>
              <w:bottom w:color="000000" w:space="0" w:sz="3" w:val="single"/>
              <w:right w:color="000000" w:space="0" w:sz="3" w:val="single"/>
            </w:tcBorders>
            <w:shd w:fill="ffffff" w:val="clear"/>
            <w:tcMar>
              <w:top w:w="20.0" w:type="dxa"/>
              <w:left w:w="20.0" w:type="dxa"/>
              <w:bottom w:w="100.0" w:type="dxa"/>
              <w:right w:w="20.0" w:type="dxa"/>
            </w:tcMar>
            <w:vAlign w:val="top"/>
          </w:tcPr>
          <w:p w:rsidR="00000000" w:rsidDel="00000000" w:rsidP="00000000" w:rsidRDefault="00000000" w:rsidRPr="00000000" w14:paraId="0000007B">
            <w:pPr>
              <w:spacing w:after="160" w:line="259" w:lineRule="auto"/>
              <w:rPr>
                <w:sz w:val="20"/>
                <w:szCs w:val="20"/>
              </w:rPr>
            </w:pPr>
            <w:r w:rsidDel="00000000" w:rsidR="00000000" w:rsidRPr="00000000">
              <w:rPr>
                <w:b w:val="1"/>
                <w:sz w:val="20"/>
                <w:szCs w:val="20"/>
                <w:rtl w:val="0"/>
              </w:rPr>
              <w:t xml:space="preserve">2024</w:t>
            </w:r>
            <w:r w:rsidDel="00000000" w:rsidR="00000000" w:rsidRPr="00000000">
              <w:rPr>
                <w:sz w:val="20"/>
                <w:szCs w:val="20"/>
                <w:rtl w:val="0"/>
              </w:rPr>
              <w:t xml:space="preserve">: 31%, reflecting increasing cost in promoting the new model lineup. </w:t>
            </w:r>
            <w:r w:rsidDel="00000000" w:rsidR="00000000" w:rsidRPr="00000000">
              <w:rPr>
                <w:b w:val="1"/>
                <w:sz w:val="20"/>
                <w:szCs w:val="20"/>
                <w:rtl w:val="0"/>
              </w:rPr>
              <w:t xml:space="preserve">2025/2026:</w:t>
            </w:r>
            <w:r w:rsidDel="00000000" w:rsidR="00000000" w:rsidRPr="00000000">
              <w:rPr>
                <w:sz w:val="20"/>
                <w:szCs w:val="20"/>
                <w:rtl w:val="0"/>
              </w:rPr>
              <w:t xml:space="preserve"> 32%, balances benefits from previous investments with rising costs of new strategies.</w:t>
            </w:r>
            <w:r w:rsidDel="00000000" w:rsidR="00000000" w:rsidRPr="00000000">
              <w:rPr>
                <w:rtl w:val="0"/>
              </w:rPr>
            </w:r>
          </w:p>
        </w:tc>
        <w:tc>
          <w:tcPr>
            <w:tcBorders>
              <w:top w:color="000000" w:space="0" w:sz="3" w:val="single"/>
              <w:left w:color="000000" w:space="0" w:sz="3" w:val="single"/>
              <w:bottom w:color="000000" w:space="0" w:sz="3" w:val="single"/>
              <w:right w:color="000000" w:space="0" w:sz="3" w:val="single"/>
            </w:tcBorders>
            <w:shd w:fill="ffffff" w:val="clear"/>
            <w:tcMar>
              <w:top w:w="20.0" w:type="dxa"/>
              <w:left w:w="20.0" w:type="dxa"/>
              <w:bottom w:w="100.0" w:type="dxa"/>
              <w:right w:w="20.0" w:type="dxa"/>
            </w:tcMar>
            <w:vAlign w:val="top"/>
          </w:tcPr>
          <w:p w:rsidR="00000000" w:rsidDel="00000000" w:rsidP="00000000" w:rsidRDefault="00000000" w:rsidRPr="00000000" w14:paraId="0000007C">
            <w:pPr>
              <w:rPr>
                <w:sz w:val="20"/>
                <w:szCs w:val="20"/>
              </w:rPr>
            </w:pPr>
            <w:r w:rsidDel="00000000" w:rsidR="00000000" w:rsidRPr="00000000">
              <w:rPr>
                <w:b w:val="1"/>
                <w:sz w:val="20"/>
                <w:szCs w:val="20"/>
                <w:rtl w:val="0"/>
              </w:rPr>
              <w:t xml:space="preserve">2024</w:t>
            </w:r>
            <w:r w:rsidDel="00000000" w:rsidR="00000000" w:rsidRPr="00000000">
              <w:rPr>
                <w:sz w:val="20"/>
                <w:szCs w:val="20"/>
                <w:rtl w:val="0"/>
              </w:rPr>
              <w:t xml:space="preserve">: 35%, benefiting from initial gains from strategic shifts towards high-margin EVs and personalization options, as well as efficient cost management practices. </w:t>
            </w:r>
            <w:r w:rsidDel="00000000" w:rsidR="00000000" w:rsidRPr="00000000">
              <w:rPr>
                <w:b w:val="1"/>
                <w:sz w:val="20"/>
                <w:szCs w:val="20"/>
                <w:rtl w:val="0"/>
              </w:rPr>
              <w:t xml:space="preserve">2025/2026:</w:t>
            </w:r>
            <w:r w:rsidDel="00000000" w:rsidR="00000000" w:rsidRPr="00000000">
              <w:rPr>
                <w:sz w:val="20"/>
                <w:szCs w:val="20"/>
                <w:rtl w:val="0"/>
              </w:rPr>
              <w:t xml:space="preserve"> 37%, maintaining the benefits from previous investments in new technologies and models with ongoing operational efficiencies and premium pricing strategies</w:t>
            </w:r>
          </w:p>
        </w:tc>
      </w:tr>
      <w:tr>
        <w:trPr>
          <w:cantSplit w:val="0"/>
          <w:tblHeader w:val="0"/>
        </w:trPr>
        <w:tc>
          <w:tcPr/>
          <w:p w:rsidR="00000000" w:rsidDel="00000000" w:rsidP="00000000" w:rsidRDefault="00000000" w:rsidRPr="00000000" w14:paraId="0000007D">
            <w:pPr>
              <w:rPr>
                <w:sz w:val="20"/>
                <w:szCs w:val="20"/>
              </w:rPr>
            </w:pPr>
            <w:r w:rsidDel="00000000" w:rsidR="00000000" w:rsidRPr="00000000">
              <w:rPr>
                <w:sz w:val="20"/>
                <w:szCs w:val="20"/>
                <w:rtl w:val="0"/>
              </w:rPr>
              <w:t xml:space="preserve">Owner Earnings multiple</w:t>
            </w:r>
          </w:p>
        </w:tc>
        <w:tc>
          <w:tcPr>
            <w:tcBorders>
              <w:top w:color="000000" w:space="0" w:sz="3" w:val="single"/>
              <w:left w:color="000000" w:space="0" w:sz="3" w:val="single"/>
              <w:bottom w:color="000000" w:space="0" w:sz="3" w:val="single"/>
              <w:right w:color="000000" w:space="0" w:sz="3" w:val="single"/>
            </w:tcBorders>
            <w:shd w:fill="ffffff" w:val="clear"/>
            <w:tcMar>
              <w:top w:w="20.0" w:type="dxa"/>
              <w:left w:w="20.0" w:type="dxa"/>
              <w:bottom w:w="100.0" w:type="dxa"/>
              <w:right w:w="20.0" w:type="dxa"/>
            </w:tcMar>
            <w:vAlign w:val="top"/>
          </w:tcPr>
          <w:p w:rsidR="00000000" w:rsidDel="00000000" w:rsidP="00000000" w:rsidRDefault="00000000" w:rsidRPr="00000000" w14:paraId="0000007E">
            <w:pPr>
              <w:rPr>
                <w:sz w:val="20"/>
                <w:szCs w:val="20"/>
              </w:rPr>
            </w:pPr>
            <w:r w:rsidDel="00000000" w:rsidR="00000000" w:rsidRPr="00000000">
              <w:rPr>
                <w:sz w:val="20"/>
                <w:szCs w:val="20"/>
                <w:rtl w:val="0"/>
              </w:rPr>
              <w:t xml:space="preserve">Used our model's growth rate. </w:t>
            </w:r>
            <w:r w:rsidDel="00000000" w:rsidR="00000000" w:rsidRPr="00000000">
              <w:rPr>
                <w:rtl w:val="0"/>
              </w:rPr>
            </w:r>
          </w:p>
        </w:tc>
        <w:tc>
          <w:tcPr>
            <w:tcBorders>
              <w:top w:color="000000" w:space="0" w:sz="3" w:val="single"/>
              <w:left w:color="000000" w:space="0" w:sz="3" w:val="single"/>
              <w:bottom w:color="000000" w:space="0" w:sz="3" w:val="single"/>
              <w:right w:color="000000" w:space="0" w:sz="3" w:val="single"/>
            </w:tcBorders>
            <w:shd w:fill="ffffff" w:val="clear"/>
            <w:tcMar>
              <w:top w:w="20.0" w:type="dxa"/>
              <w:left w:w="20.0" w:type="dxa"/>
              <w:bottom w:w="100.0" w:type="dxa"/>
              <w:right w:w="20.0" w:type="dxa"/>
            </w:tcMar>
            <w:vAlign w:val="top"/>
          </w:tcPr>
          <w:p w:rsidR="00000000" w:rsidDel="00000000" w:rsidP="00000000" w:rsidRDefault="00000000" w:rsidRPr="00000000" w14:paraId="0000007F">
            <w:pPr>
              <w:rPr>
                <w:sz w:val="20"/>
                <w:szCs w:val="20"/>
              </w:rPr>
            </w:pPr>
            <w:r w:rsidDel="00000000" w:rsidR="00000000" w:rsidRPr="00000000">
              <w:rPr>
                <w:sz w:val="20"/>
                <w:szCs w:val="20"/>
                <w:rtl w:val="0"/>
              </w:rPr>
              <w:t xml:space="preserve">Used our model's growth rate. </w:t>
            </w:r>
          </w:p>
        </w:tc>
        <w:tc>
          <w:tcPr>
            <w:tcBorders>
              <w:top w:color="000000" w:space="0" w:sz="3" w:val="single"/>
              <w:left w:color="000000" w:space="0" w:sz="3" w:val="single"/>
              <w:bottom w:color="000000" w:space="0" w:sz="3" w:val="single"/>
              <w:right w:color="000000" w:space="0" w:sz="3" w:val="single"/>
            </w:tcBorders>
            <w:shd w:fill="ffffff" w:val="clear"/>
            <w:tcMar>
              <w:top w:w="20.0" w:type="dxa"/>
              <w:left w:w="20.0" w:type="dxa"/>
              <w:bottom w:w="100.0" w:type="dxa"/>
              <w:right w:w="20.0" w:type="dxa"/>
            </w:tcMar>
            <w:vAlign w:val="top"/>
          </w:tcPr>
          <w:p w:rsidR="00000000" w:rsidDel="00000000" w:rsidP="00000000" w:rsidRDefault="00000000" w:rsidRPr="00000000" w14:paraId="00000080">
            <w:pPr>
              <w:rPr>
                <w:sz w:val="20"/>
                <w:szCs w:val="20"/>
              </w:rPr>
            </w:pPr>
            <w:r w:rsidDel="00000000" w:rsidR="00000000" w:rsidRPr="00000000">
              <w:rPr>
                <w:sz w:val="20"/>
                <w:szCs w:val="20"/>
                <w:rtl w:val="0"/>
              </w:rPr>
              <w:t xml:space="preserve">Used our model's growth rate. </w:t>
            </w:r>
          </w:p>
        </w:tc>
      </w:tr>
    </w:tbl>
    <w:p w:rsidR="00000000" w:rsidDel="00000000" w:rsidP="00000000" w:rsidRDefault="00000000" w:rsidRPr="00000000" w14:paraId="00000081">
      <w:pPr>
        <w:spacing w:after="0" w:lineRule="auto"/>
        <w:rPr>
          <w:color w:val="0070c0"/>
          <w:sz w:val="20"/>
          <w:szCs w:val="20"/>
        </w:rPr>
      </w:pPr>
      <w:r w:rsidDel="00000000" w:rsidR="00000000" w:rsidRPr="00000000">
        <w:rPr>
          <w:rtl w:val="0"/>
        </w:rPr>
      </w:r>
    </w:p>
    <w:p w:rsidR="00000000" w:rsidDel="00000000" w:rsidP="00000000" w:rsidRDefault="00000000" w:rsidRPr="00000000" w14:paraId="00000082">
      <w:pPr>
        <w:rPr>
          <w:color w:val="000000"/>
          <w:sz w:val="20"/>
          <w:szCs w:val="20"/>
        </w:rPr>
      </w:pPr>
      <w:r w:rsidDel="00000000" w:rsidR="00000000" w:rsidRPr="00000000">
        <w:rPr>
          <w:rtl w:val="0"/>
        </w:rPr>
      </w:r>
    </w:p>
    <w:p w:rsidR="00000000" w:rsidDel="00000000" w:rsidP="00000000" w:rsidRDefault="00000000" w:rsidRPr="00000000" w14:paraId="00000083">
      <w:pPr>
        <w:rPr>
          <w:color w:val="000000"/>
          <w:sz w:val="20"/>
          <w:szCs w:val="20"/>
        </w:rPr>
      </w:pPr>
      <w:r w:rsidDel="00000000" w:rsidR="00000000" w:rsidRPr="00000000">
        <w:rPr>
          <w:rtl w:val="0"/>
        </w:rPr>
      </w:r>
    </w:p>
    <w:p w:rsidR="00000000" w:rsidDel="00000000" w:rsidP="00000000" w:rsidRDefault="00000000" w:rsidRPr="00000000" w14:paraId="00000084">
      <w:pPr>
        <w:rPr>
          <w:color w:val="000000"/>
          <w:sz w:val="20"/>
          <w:szCs w:val="20"/>
        </w:rPr>
      </w:pPr>
      <w:r w:rsidDel="00000000" w:rsidR="00000000" w:rsidRPr="00000000">
        <w:rPr>
          <w:rtl w:val="0"/>
        </w:rPr>
        <w:t xml:space="preserve">  </w:t>
      </w:r>
      <w:r w:rsidDel="00000000" w:rsidR="00000000" w:rsidRPr="00000000">
        <w:rPr/>
        <w:drawing>
          <wp:inline distB="114300" distT="114300" distL="114300" distR="114300">
            <wp:extent cx="6492240" cy="5575300"/>
            <wp:effectExtent b="0" l="0" r="0" t="0"/>
            <wp:docPr id="5"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6492240" cy="55753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85">
      <w:pPr>
        <w:rPr>
          <w:color w:val="000000"/>
          <w:sz w:val="20"/>
          <w:szCs w:val="20"/>
        </w:rPr>
      </w:pPr>
      <w:r w:rsidDel="00000000" w:rsidR="00000000" w:rsidRPr="00000000">
        <w:rPr/>
        <w:drawing>
          <wp:inline distB="114300" distT="114300" distL="114300" distR="114300">
            <wp:extent cx="6492240" cy="5702300"/>
            <wp:effectExtent b="0" l="0" r="0" t="0"/>
            <wp:docPr id="11"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6492240" cy="5702300"/>
                    </a:xfrm>
                    <a:prstGeom prst="rect"/>
                    <a:ln/>
                  </pic:spPr>
                </pic:pic>
              </a:graphicData>
            </a:graphic>
          </wp:inline>
        </w:drawing>
      </w:r>
      <w:r w:rsidDel="00000000" w:rsidR="00000000" w:rsidRPr="00000000">
        <w:rPr/>
        <w:drawing>
          <wp:inline distB="114300" distT="114300" distL="114300" distR="114300">
            <wp:extent cx="6492240" cy="5435600"/>
            <wp:effectExtent b="0" l="0" r="0" t="0"/>
            <wp:docPr id="9"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6492240" cy="54356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sz w:val="20"/>
          <w:szCs w:val="20"/>
        </w:rPr>
      </w:pPr>
      <w:r w:rsidDel="00000000" w:rsidR="00000000" w:rsidRPr="00000000">
        <w:rPr>
          <w:rtl w:val="0"/>
        </w:rPr>
      </w:r>
    </w:p>
    <w:p w:rsidR="00000000" w:rsidDel="00000000" w:rsidP="00000000" w:rsidRDefault="00000000" w:rsidRPr="00000000" w14:paraId="00000087">
      <w:pPr>
        <w:rPr>
          <w:sz w:val="20"/>
          <w:szCs w:val="20"/>
        </w:rPr>
      </w:pPr>
      <w:r w:rsidDel="00000000" w:rsidR="00000000" w:rsidRPr="00000000">
        <w:rPr>
          <w:rtl w:val="0"/>
        </w:rPr>
      </w:r>
    </w:p>
    <w:p w:rsidR="00000000" w:rsidDel="00000000" w:rsidP="00000000" w:rsidRDefault="00000000" w:rsidRPr="00000000" w14:paraId="00000088">
      <w:pPr>
        <w:rPr>
          <w:sz w:val="20"/>
          <w:szCs w:val="20"/>
        </w:rPr>
      </w:pPr>
      <w:r w:rsidDel="00000000" w:rsidR="00000000" w:rsidRPr="00000000">
        <w:rPr>
          <w:rtl w:val="0"/>
        </w:rPr>
      </w:r>
    </w:p>
    <w:p w:rsidR="00000000" w:rsidDel="00000000" w:rsidP="00000000" w:rsidRDefault="00000000" w:rsidRPr="00000000" w14:paraId="00000089">
      <w:pPr>
        <w:rPr>
          <w:sz w:val="20"/>
          <w:szCs w:val="20"/>
        </w:rPr>
      </w:pPr>
      <w:r w:rsidDel="00000000" w:rsidR="00000000" w:rsidRPr="00000000">
        <w:rPr>
          <w:rtl w:val="0"/>
        </w:rPr>
      </w:r>
    </w:p>
    <w:p w:rsidR="00000000" w:rsidDel="00000000" w:rsidP="00000000" w:rsidRDefault="00000000" w:rsidRPr="00000000" w14:paraId="0000008A">
      <w:pPr>
        <w:rPr>
          <w:sz w:val="20"/>
          <w:szCs w:val="20"/>
        </w:rPr>
      </w:pPr>
      <w:r w:rsidDel="00000000" w:rsidR="00000000" w:rsidRPr="00000000">
        <w:rPr>
          <w:rtl w:val="0"/>
        </w:rPr>
      </w:r>
    </w:p>
    <w:p w:rsidR="00000000" w:rsidDel="00000000" w:rsidP="00000000" w:rsidRDefault="00000000" w:rsidRPr="00000000" w14:paraId="0000008B">
      <w:pPr>
        <w:rPr>
          <w:sz w:val="20"/>
          <w:szCs w:val="20"/>
        </w:rPr>
      </w:pPr>
      <w:r w:rsidDel="00000000" w:rsidR="00000000" w:rsidRPr="00000000">
        <w:rPr>
          <w:rtl w:val="0"/>
        </w:rPr>
      </w:r>
    </w:p>
    <w:p w:rsidR="00000000" w:rsidDel="00000000" w:rsidP="00000000" w:rsidRDefault="00000000" w:rsidRPr="00000000" w14:paraId="0000008C">
      <w:pPr>
        <w:rPr>
          <w:sz w:val="20"/>
          <w:szCs w:val="20"/>
        </w:rPr>
      </w:pPr>
      <w:r w:rsidDel="00000000" w:rsidR="00000000" w:rsidRPr="00000000">
        <w:rPr>
          <w:rtl w:val="0"/>
        </w:rPr>
      </w:r>
    </w:p>
    <w:p w:rsidR="00000000" w:rsidDel="00000000" w:rsidP="00000000" w:rsidRDefault="00000000" w:rsidRPr="00000000" w14:paraId="0000008D">
      <w:pPr>
        <w:rPr>
          <w:sz w:val="20"/>
          <w:szCs w:val="20"/>
        </w:rPr>
      </w:pPr>
      <w:r w:rsidDel="00000000" w:rsidR="00000000" w:rsidRPr="00000000">
        <w:rPr>
          <w:rtl w:val="0"/>
        </w:rPr>
      </w:r>
    </w:p>
    <w:p w:rsidR="00000000" w:rsidDel="00000000" w:rsidP="00000000" w:rsidRDefault="00000000" w:rsidRPr="00000000" w14:paraId="0000008E">
      <w:pPr>
        <w:rPr>
          <w:sz w:val="20"/>
          <w:szCs w:val="20"/>
        </w:rPr>
      </w:pPr>
      <w:r w:rsidDel="00000000" w:rsidR="00000000" w:rsidRPr="00000000">
        <w:rPr>
          <w:rtl w:val="0"/>
        </w:rPr>
      </w:r>
    </w:p>
    <w:p w:rsidR="00000000" w:rsidDel="00000000" w:rsidP="00000000" w:rsidRDefault="00000000" w:rsidRPr="00000000" w14:paraId="0000008F">
      <w:pPr>
        <w:rPr>
          <w:sz w:val="20"/>
          <w:szCs w:val="20"/>
        </w:rPr>
      </w:pPr>
      <w:r w:rsidDel="00000000" w:rsidR="00000000" w:rsidRPr="00000000">
        <w:rPr>
          <w:rtl w:val="0"/>
        </w:rPr>
      </w:r>
    </w:p>
    <w:p w:rsidR="00000000" w:rsidDel="00000000" w:rsidP="00000000" w:rsidRDefault="00000000" w:rsidRPr="00000000" w14:paraId="00000090">
      <w:pPr>
        <w:rPr>
          <w:sz w:val="20"/>
          <w:szCs w:val="20"/>
        </w:rPr>
      </w:pPr>
      <w:r w:rsidDel="00000000" w:rsidR="00000000" w:rsidRPr="00000000">
        <w:rPr>
          <w:rtl w:val="0"/>
        </w:rPr>
      </w:r>
    </w:p>
    <w:p w:rsidR="00000000" w:rsidDel="00000000" w:rsidP="00000000" w:rsidRDefault="00000000" w:rsidRPr="00000000" w14:paraId="00000091">
      <w:pPr>
        <w:rPr>
          <w:sz w:val="20"/>
          <w:szCs w:val="20"/>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Appendix:</w:t>
      </w:r>
    </w:p>
    <w:p w:rsidR="00000000" w:rsidDel="00000000" w:rsidP="00000000" w:rsidRDefault="00000000" w:rsidRPr="00000000" w14:paraId="00000093">
      <w:pPr>
        <w:rPr/>
      </w:pPr>
      <w:r w:rsidDel="00000000" w:rsidR="00000000" w:rsidRPr="00000000">
        <w:rPr/>
        <w:drawing>
          <wp:inline distB="114300" distT="114300" distL="114300" distR="114300">
            <wp:extent cx="6492240" cy="4178300"/>
            <wp:effectExtent b="0" l="0" r="0" t="0"/>
            <wp:docPr id="6"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6492240" cy="4178300"/>
                    </a:xfrm>
                    <a:prstGeom prst="rect"/>
                    <a:ln/>
                  </pic:spPr>
                </pic:pic>
              </a:graphicData>
            </a:graphic>
          </wp:inline>
        </w:drawing>
      </w:r>
      <w:r w:rsidDel="00000000" w:rsidR="00000000" w:rsidRPr="00000000">
        <w:rPr>
          <w:rtl w:val="0"/>
        </w:rPr>
      </w:r>
    </w:p>
    <w:sectPr>
      <w:type w:val="nextPage"/>
      <w:pgSz w:h="15840" w:w="12240" w:orient="portrait"/>
      <w:pgMar w:bottom="864" w:top="864" w:left="1008" w:right="1008"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right" w:leader="none" w:pos="1022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r>
    <w:r w:rsidDel="00000000" w:rsidR="00000000" w:rsidRPr="00000000">
      <w:rPr>
        <w:rFonts w:ascii="Calibri" w:cs="Calibri" w:eastAsia="Calibri" w:hAnsi="Calibri"/>
        <w:b w:val="0"/>
        <w:i w:val="0"/>
        <w:smallCaps w:val="0"/>
        <w:strike w:val="0"/>
        <w:color w:val="7f7f7f"/>
        <w:sz w:val="22"/>
        <w:szCs w:val="22"/>
        <w:u w:val="none"/>
        <w:shd w:fill="auto" w:val="clear"/>
        <w:vertAlign w:val="baseline"/>
        <w:rtl w:val="0"/>
      </w:rPr>
      <w:t xml:space="preserve">Page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1">
    <w:p w:rsidR="00000000" w:rsidDel="00000000" w:rsidP="00000000" w:rsidRDefault="00000000" w:rsidRPr="00000000" w14:paraId="00000095">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2024-01-29  Stifel Equity Research</w:t>
      </w:r>
    </w:p>
  </w:footnote>
  <w:footnote w:id="2">
    <w:p w:rsidR="00000000" w:rsidDel="00000000" w:rsidP="00000000" w:rsidRDefault="00000000" w:rsidRPr="00000000" w14:paraId="00000096">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2024-03-25  RBC Equity Research</w:t>
      </w:r>
    </w:p>
  </w:footnote>
  <w:footnote w:id="4">
    <w:p w:rsidR="00000000" w:rsidDel="00000000" w:rsidP="00000000" w:rsidRDefault="00000000" w:rsidRPr="00000000" w14:paraId="00000097">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2024-02-28 </w:t>
      </w:r>
      <w:hyperlink r:id="rId1">
        <w:r w:rsidDel="00000000" w:rsidR="00000000" w:rsidRPr="00000000">
          <w:rPr>
            <w:color w:val="1155cc"/>
            <w:sz w:val="20"/>
            <w:szCs w:val="20"/>
            <w:u w:val="single"/>
            <w:rtl w:val="0"/>
          </w:rPr>
          <w:t xml:space="preserve">Liberty Media Annual Report 2023</w:t>
        </w:r>
      </w:hyperlink>
      <w:r w:rsidDel="00000000" w:rsidR="00000000" w:rsidRPr="00000000">
        <w:rPr>
          <w:rtl w:val="0"/>
        </w:rPr>
      </w:r>
    </w:p>
  </w:footnote>
  <w:footnote w:id="0">
    <w:p w:rsidR="00000000" w:rsidDel="00000000" w:rsidP="00000000" w:rsidRDefault="00000000" w:rsidRPr="00000000" w14:paraId="00000098">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2024-01-29  Stifel Equity Research</w:t>
      </w:r>
    </w:p>
  </w:footnote>
  <w:footnote w:id="3">
    <w:p w:rsidR="00000000" w:rsidDel="00000000" w:rsidP="00000000" w:rsidRDefault="00000000" w:rsidRPr="00000000" w14:paraId="00000099">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2024-02-22 </w:t>
      </w:r>
      <w:hyperlink r:id="rId2">
        <w:r w:rsidDel="00000000" w:rsidR="00000000" w:rsidRPr="00000000">
          <w:rPr>
            <w:color w:val="1155cc"/>
            <w:sz w:val="20"/>
            <w:szCs w:val="20"/>
            <w:u w:val="single"/>
            <w:rtl w:val="0"/>
          </w:rPr>
          <w:t xml:space="preserve">Ferrari Annual Report 2023</w:t>
        </w:r>
      </w:hyperlink>
      <w:r w:rsidDel="00000000" w:rsidR="00000000" w:rsidRPr="00000000">
        <w:rPr>
          <w:rtl w:val="0"/>
        </w:rPr>
      </w:r>
    </w:p>
  </w:footnote>
  <w:footnote w:id="5">
    <w:p w:rsidR="00000000" w:rsidDel="00000000" w:rsidP="00000000" w:rsidRDefault="00000000" w:rsidRPr="00000000" w14:paraId="0000009A">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2024-01-29 Stifel Equity Research</w:t>
      </w:r>
    </w:p>
  </w:footnote>
  <w:footnote w:id="8">
    <w:p w:rsidR="00000000" w:rsidDel="00000000" w:rsidP="00000000" w:rsidRDefault="00000000" w:rsidRPr="00000000" w14:paraId="0000009B">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Ferrari Annual Report 2023</w:t>
      </w:r>
    </w:p>
  </w:footnote>
  <w:footnote w:id="9">
    <w:p w:rsidR="00000000" w:rsidDel="00000000" w:rsidP="00000000" w:rsidRDefault="00000000" w:rsidRPr="00000000" w14:paraId="0000009C">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3">
        <w:r w:rsidDel="00000000" w:rsidR="00000000" w:rsidRPr="00000000">
          <w:rPr>
            <w:sz w:val="20"/>
            <w:szCs w:val="20"/>
            <w:u w:val="single"/>
            <w:rtl w:val="0"/>
          </w:rPr>
          <w:t xml:space="preserve">Aston Martin Annual Report 2022</w:t>
        </w:r>
      </w:hyperlink>
      <w:r w:rsidDel="00000000" w:rsidR="00000000" w:rsidRPr="00000000">
        <w:rPr>
          <w:rtl w:val="0"/>
        </w:rPr>
      </w:r>
    </w:p>
  </w:footnote>
  <w:footnote w:id="6">
    <w:p w:rsidR="00000000" w:rsidDel="00000000" w:rsidP="00000000" w:rsidRDefault="00000000" w:rsidRPr="00000000" w14:paraId="0000009D">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4">
        <w:r w:rsidDel="00000000" w:rsidR="00000000" w:rsidRPr="00000000">
          <w:rPr>
            <w:color w:val="1155cc"/>
            <w:sz w:val="20"/>
            <w:szCs w:val="20"/>
            <w:u w:val="single"/>
            <w:rtl w:val="0"/>
          </w:rPr>
          <w:t xml:space="preserve">Ferrari Annual Report 2023</w:t>
        </w:r>
      </w:hyperlink>
      <w:r w:rsidDel="00000000" w:rsidR="00000000" w:rsidRPr="00000000">
        <w:rPr>
          <w:rtl w:val="0"/>
        </w:rPr>
      </w:r>
    </w:p>
  </w:footnote>
  <w:footnote w:id="10">
    <w:p w:rsidR="00000000" w:rsidDel="00000000" w:rsidP="00000000" w:rsidRDefault="00000000" w:rsidRPr="00000000" w14:paraId="0000009E">
      <w:pPr>
        <w:spacing w:after="0" w:line="240" w:lineRule="auto"/>
        <w:rPr>
          <w:sz w:val="28"/>
          <w:szCs w:val="28"/>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5">
        <w:r w:rsidDel="00000000" w:rsidR="00000000" w:rsidRPr="00000000">
          <w:rPr>
            <w:color w:val="1155cc"/>
            <w:sz w:val="20"/>
            <w:szCs w:val="20"/>
            <w:u w:val="single"/>
            <w:rtl w:val="0"/>
          </w:rPr>
          <w:t xml:space="preserve">https://www.reuters.com/business/autos-transportation/ferrari-does-not-need-buy-other-supercar-makers</w:t>
        </w:r>
      </w:hyperlink>
      <w:r w:rsidDel="00000000" w:rsidR="00000000" w:rsidRPr="00000000">
        <w:rPr>
          <w:rtl w:val="0"/>
        </w:rPr>
      </w:r>
    </w:p>
  </w:footnote>
  <w:footnote w:id="7">
    <w:p w:rsidR="00000000" w:rsidDel="00000000" w:rsidP="00000000" w:rsidRDefault="00000000" w:rsidRPr="00000000" w14:paraId="0000009F">
      <w:pPr>
        <w:spacing w:after="0" w:line="240" w:lineRule="auto"/>
        <w:rPr>
          <w:sz w:val="20"/>
          <w:szCs w:val="20"/>
          <w:u w:val="single"/>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20"/>
          <w:szCs w:val="20"/>
          <w:u w:val="single"/>
          <w:rtl w:val="0"/>
        </w:rPr>
        <w:t xml:space="preserve">https://www.roadandtrack.com/new-cars/news/a8667/ferrari-ceo-rage-quits-calls-the-brand-american/</w:t>
      </w:r>
    </w:p>
  </w:footnote>
  <w:footnote w:id="11">
    <w:p w:rsidR="00000000" w:rsidDel="00000000" w:rsidP="00000000" w:rsidRDefault="00000000" w:rsidRPr="00000000" w14:paraId="000000A0">
      <w:pPr>
        <w:spacing w:after="0" w:line="240" w:lineRule="auto"/>
        <w:rPr>
          <w:sz w:val="28"/>
          <w:szCs w:val="28"/>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6">
        <w:r w:rsidDel="00000000" w:rsidR="00000000" w:rsidRPr="00000000">
          <w:rPr>
            <w:sz w:val="20"/>
            <w:szCs w:val="20"/>
            <w:u w:val="single"/>
            <w:rtl w:val="0"/>
          </w:rPr>
          <w:t xml:space="preserve">https://ferriscars.com/tag/ferrari-ceo/</w:t>
        </w:r>
      </w:hyperlink>
      <w:r w:rsidDel="00000000" w:rsidR="00000000" w:rsidRPr="00000000">
        <w:rPr>
          <w:sz w:val="20"/>
          <w:szCs w:val="20"/>
          <w:rtl w:val="0"/>
        </w:rPr>
        <w:t xml:space="preserve"> </w:t>
      </w:r>
      <w:r w:rsidDel="00000000" w:rsidR="00000000" w:rsidRPr="00000000">
        <w:rPr>
          <w:rtl w:val="0"/>
        </w:rPr>
      </w:r>
    </w:p>
  </w:footnote>
  <w:footnote w:id="12">
    <w:p w:rsidR="00000000" w:rsidDel="00000000" w:rsidP="00000000" w:rsidRDefault="00000000" w:rsidRPr="00000000" w14:paraId="000000A1">
      <w:pPr>
        <w:spacing w:after="0" w:line="240" w:lineRule="auto"/>
        <w:rPr>
          <w:sz w:val="38"/>
          <w:szCs w:val="38"/>
          <w:vertAlign w:val="superscript"/>
        </w:rPr>
      </w:pPr>
      <w:r w:rsidDel="00000000" w:rsidR="00000000" w:rsidRPr="00000000">
        <w:rPr>
          <w:rStyle w:val="FootnoteReference"/>
          <w:vertAlign w:val="superscript"/>
        </w:rPr>
        <w:footnoteRef/>
      </w:r>
      <w:r w:rsidDel="00000000" w:rsidR="00000000" w:rsidRPr="00000000">
        <w:rPr>
          <w:sz w:val="20"/>
          <w:szCs w:val="20"/>
          <w:rtl w:val="0"/>
        </w:rPr>
        <w:t xml:space="preserve"> Ferrari FY 2023 Results Press Release </w:t>
      </w:r>
      <w:r w:rsidDel="00000000" w:rsidR="00000000" w:rsidRPr="00000000">
        <w:rPr>
          <w:rtl w:val="0"/>
        </w:rPr>
      </w:r>
    </w:p>
    <w:p w:rsidR="00000000" w:rsidDel="00000000" w:rsidP="00000000" w:rsidRDefault="00000000" w:rsidRPr="00000000" w14:paraId="000000A2">
      <w:pPr>
        <w:spacing w:after="0" w:line="240" w:lineRule="auto"/>
        <w:rPr>
          <w:sz w:val="28"/>
          <w:szCs w:val="28"/>
        </w:rPr>
      </w:pPr>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color w:val="1c2b33"/>
        <w:sz w:val="23"/>
        <w:szCs w:val="23"/>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Noto Sans Symbols" w:cs="Noto Sans Symbols" w:eastAsia="Noto Sans Symbols" w:hAnsi="Noto Sans Symbols"/>
        <w:color w:val="000000"/>
      </w:rPr>
    </w:lvl>
    <w:lvl w:ilvl="1">
      <w:start w:val="1"/>
      <w:numFmt w:val="bullet"/>
      <w:lvlText w:val="o"/>
      <w:lvlJc w:val="left"/>
      <w:pPr>
        <w:ind w:left="1440" w:hanging="360"/>
      </w:pPr>
      <w:rPr>
        <w:rFonts w:ascii="Courier New" w:cs="Courier New" w:eastAsia="Courier New" w:hAnsi="Courier New"/>
        <w:color w:val="000000"/>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spacing w:after="0" w:before="200" w:line="276" w:lineRule="auto"/>
    </w:pPr>
    <w:rPr>
      <w:rFonts w:ascii="Calibri" w:cs="Calibri" w:eastAsia="Calibri" w:hAnsi="Calibri"/>
      <w:b w:val="1"/>
      <w:color w:val="5b9bd5"/>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2.png"/><Relationship Id="rId10" Type="http://schemas.openxmlformats.org/officeDocument/2006/relationships/image" Target="media/image4.png"/><Relationship Id="rId13" Type="http://schemas.openxmlformats.org/officeDocument/2006/relationships/image" Target="media/image9.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png"/><Relationship Id="rId15" Type="http://schemas.openxmlformats.org/officeDocument/2006/relationships/image" Target="media/image5.png"/><Relationship Id="rId14" Type="http://schemas.openxmlformats.org/officeDocument/2006/relationships/image" Target="media/image3.png"/><Relationship Id="rId17" Type="http://schemas.openxmlformats.org/officeDocument/2006/relationships/image" Target="media/image10.png"/><Relationship Id="rId16" Type="http://schemas.openxmlformats.org/officeDocument/2006/relationships/image" Target="media/image6.png"/><Relationship Id="rId5" Type="http://schemas.openxmlformats.org/officeDocument/2006/relationships/numbering" Target="numbering.xml"/><Relationship Id="rId19" Type="http://schemas.openxmlformats.org/officeDocument/2006/relationships/image" Target="media/image12.png"/><Relationship Id="rId6" Type="http://schemas.openxmlformats.org/officeDocument/2006/relationships/styles" Target="styles.xml"/><Relationship Id="rId18" Type="http://schemas.openxmlformats.org/officeDocument/2006/relationships/image" Target="media/image11.png"/><Relationship Id="rId7" Type="http://schemas.openxmlformats.org/officeDocument/2006/relationships/customXml" Target="../customXML/item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notes.xml.rels><?xml version="1.0" encoding="UTF-8" standalone="yes"?><Relationships xmlns="http://schemas.openxmlformats.org/package/2006/relationships"><Relationship Id="rId1" Type="http://schemas.openxmlformats.org/officeDocument/2006/relationships/hyperlink" Target="https://d1io3yog0oux5.cloudfront.net/_8267aa28a39e29a061d0b31e5b8fc787/libertymedia/db/2054/20081/annual_report/Liberty+Media+Corporation+Proxy+Statement+-+Annual+Report+-+Bookmarked.pdf" TargetMode="External"/><Relationship Id="rId2" Type="http://schemas.openxmlformats.org/officeDocument/2006/relationships/hyperlink" Target="https://cdn.ferrari.com/cms/network/media/pdf/Ferrari-2023-annual-report-april-17-2024.pdf?_gl=1*mkeod3*_ga*MTQ4MTk4MjI3OS4xNzEyMDY2Nzky*_ga_JM1HT9B412*MTcxNDE2Mzg3Ny41LjAuMTcxNDE2Mzg3Ny4wLjAuMA" TargetMode="External"/><Relationship Id="rId3" Type="http://schemas.openxmlformats.org/officeDocument/2006/relationships/hyperlink" Target="https://www.astonmartin.com/-/media/corporate/documents/annual-reports/aston_martin_annual_report_2022.pdf?rev=6a462584d1c54890a85a324a2663c3d7&amp;hash=9A3C425CE6101D99D4249E882AA19A4F" TargetMode="External"/><Relationship Id="rId4" Type="http://schemas.openxmlformats.org/officeDocument/2006/relationships/hyperlink" Target="https://cdn.ferrari.com/cms/network/media/pdf/Ferrari-2023-annual-report-april-17-2024.pdf?_gl=1*mkeod3*_ga*MTQ4MTk4MjI3OS4xNzEyMDY2Nzky*_ga_JM1HT9B412*MTcxNDE2Mzg3Ny41LjAuMTcxNDE2Mzg3Ny4wLjAuMA" TargetMode="External"/><Relationship Id="rId5" Type="http://schemas.openxmlformats.org/officeDocument/2006/relationships/hyperlink" Target="https://www.reuters.com/business/autos-transportation/ferrari-does-not-need-buy-other-supercar-makers-ceo-says-2023-06-05/" TargetMode="External"/><Relationship Id="rId6" Type="http://schemas.openxmlformats.org/officeDocument/2006/relationships/hyperlink" Target="https://ferriscars.com/tag/ferrari-ce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Chicago" SelectedStyle="/Chicago.xsl" Version="16">
  <b:Source>
    <b:Tag>source1</b:Tag>
    <b:Month>November</b:Month>
    <b:DayAccessed>26</b:DayAccessed>
    <b:Day>9</b:Day>
    <b:Year>2017</b:Year>
    <b:SourceType>DocumentFromInternetSite</b:SourceType>
    <b:URL>https://cdn.ferrari.com/cms/network/media/pdf/Ferrari-2023-annual-report-april-17-2024.pdf?_gl=1*1c9xpl1*_ga*MTgxODYyNTAyMy4xNzEzNjc5MjM4*_ga_JM1HT9B412*MTcxNDE2NDMxMi41LjEuMTcxNDE2NDMyMy4wLjAuMA..</b:URL>
    <b:InternetSiteTitle>YouTube: Home</b:InternetSiteTitle>
    <b:MonthAccessed>April</b:MonthAccessed>
    <b:YearAccessed>2024</b:YearAccessed>
    <b:Gdcea>{"AccessedType":"Website"}</b:Gdcea>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