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FC8C" w14:textId="5EC761B3" w:rsidR="00DE2D57" w:rsidRPr="00E13BCA" w:rsidRDefault="00E13BCA">
      <w:pPr>
        <w:rPr>
          <w:b/>
          <w:bCs/>
          <w:sz w:val="32"/>
          <w:szCs w:val="32"/>
          <w:lang w:val="en-US"/>
        </w:rPr>
      </w:pPr>
      <w:r w:rsidRPr="00E13BCA">
        <w:rPr>
          <w:b/>
          <w:bCs/>
          <w:sz w:val="32"/>
          <w:szCs w:val="32"/>
          <w:lang w:val="en-US"/>
        </w:rPr>
        <w:t xml:space="preserve">Level 3) </w:t>
      </w:r>
    </w:p>
    <w:p w14:paraId="5C21AEF6" w14:textId="77BBBA5D" w:rsidR="00E13BCA" w:rsidRDefault="00E13BCA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Name= Anushka Kadam                                                                  </w:t>
      </w:r>
      <w:proofErr w:type="spellStart"/>
      <w:r>
        <w:rPr>
          <w:lang w:val="en-US"/>
        </w:rPr>
        <w:t>Emp_ID</w:t>
      </w:r>
      <w:proofErr w:type="spellEnd"/>
      <w:r>
        <w:rPr>
          <w:lang w:val="en-US"/>
        </w:rPr>
        <w:t>=90119918</w:t>
      </w:r>
    </w:p>
    <w:p w14:paraId="46D3D096" w14:textId="5BD1270B" w:rsidR="00E13BCA" w:rsidRDefault="00E13BCA">
      <w:pPr>
        <w:rPr>
          <w:lang w:val="en-US"/>
        </w:rPr>
      </w:pPr>
      <w:r>
        <w:rPr>
          <w:lang w:val="en-US"/>
        </w:rPr>
        <w:t>Q23)</w:t>
      </w:r>
    </w:p>
    <w:p w14:paraId="30AF6105" w14:textId="6A236271" w:rsidR="00E13BCA" w:rsidRDefault="00E13BCA">
      <w:pPr>
        <w:pBdr>
          <w:bottom w:val="double" w:sz="6" w:space="1" w:color="auto"/>
        </w:pBdr>
      </w:pPr>
      <w:r w:rsidRPr="00E13BCA">
        <w:t xml:space="preserve">I would reject the proposal because the </w:t>
      </w:r>
      <w:r w:rsidRPr="00E13BCA">
        <w:rPr>
          <w:b/>
          <w:bCs/>
        </w:rPr>
        <w:t>M (Merge) storage engine</w:t>
      </w:r>
      <w:r w:rsidRPr="00E13BCA">
        <w:t xml:space="preserve"> is not an appropriate choice for a high-throughput UPI transaction system, and read speed alone is not the correct design criterion. The transaction workload needs strong </w:t>
      </w:r>
      <w:r w:rsidRPr="00E13BCA">
        <w:rPr>
          <w:b/>
          <w:bCs/>
        </w:rPr>
        <w:t>ACID properties, crash recovery, concurrency, and durability</w:t>
      </w:r>
      <w:r w:rsidRPr="00E13BCA">
        <w:t xml:space="preserve">, so I would use the </w:t>
      </w:r>
      <w:proofErr w:type="spellStart"/>
      <w:r w:rsidRPr="00E13BCA">
        <w:rPr>
          <w:b/>
          <w:bCs/>
        </w:rPr>
        <w:t>InnoDB</w:t>
      </w:r>
      <w:proofErr w:type="spellEnd"/>
      <w:r w:rsidRPr="00E13BCA">
        <w:rPr>
          <w:b/>
          <w:bCs/>
        </w:rPr>
        <w:t xml:space="preserve"> storage engine</w:t>
      </w:r>
      <w:r w:rsidRPr="00E13BCA">
        <w:t xml:space="preserve"> in MySQL, which supports transactions and foreign keys.</w:t>
      </w:r>
    </w:p>
    <w:p w14:paraId="69186978" w14:textId="40B288EF" w:rsidR="00E13BCA" w:rsidRDefault="00E13BCA">
      <w:r>
        <w:t>Q24)</w:t>
      </w:r>
    </w:p>
    <w:p w14:paraId="44C216AB" w14:textId="59512618" w:rsidR="00E13BCA" w:rsidRDefault="00E13BCA">
      <w:pPr>
        <w:pBdr>
          <w:bottom w:val="double" w:sz="6" w:space="1" w:color="auto"/>
        </w:pBdr>
      </w:pPr>
      <w:r w:rsidRPr="00E13BCA">
        <w:t xml:space="preserve">A single design may not serve both workloads efficiently because account-level transaction history needs fast </w:t>
      </w:r>
      <w:r w:rsidRPr="00E13BCA">
        <w:rPr>
          <w:b/>
          <w:bCs/>
        </w:rPr>
        <w:t>point/range lookups</w:t>
      </w:r>
      <w:r w:rsidRPr="00E13BCA">
        <w:t xml:space="preserve">, while monthly risk totals require large </w:t>
      </w:r>
      <w:r w:rsidRPr="00E13BCA">
        <w:rPr>
          <w:b/>
          <w:bCs/>
        </w:rPr>
        <w:t>aggregations over millions of rows</w:t>
      </w:r>
      <w:r w:rsidRPr="00E13BCA">
        <w:t xml:space="preserve">. I would use a </w:t>
      </w:r>
      <w:r w:rsidRPr="00E13BCA">
        <w:rPr>
          <w:b/>
          <w:bCs/>
        </w:rPr>
        <w:t>transactional database</w:t>
      </w:r>
      <w:r w:rsidRPr="00E13BCA">
        <w:t xml:space="preserve"> optimized for operational queries and a separate </w:t>
      </w:r>
      <w:r w:rsidRPr="00E13BCA">
        <w:rPr>
          <w:b/>
          <w:bCs/>
        </w:rPr>
        <w:t>analytical system/data warehouse</w:t>
      </w:r>
      <w:r w:rsidRPr="00E13BCA">
        <w:t xml:space="preserve"> containing replicated or transformed transaction data for reporting. The </w:t>
      </w:r>
      <w:r w:rsidRPr="00E13BCA">
        <w:rPr>
          <w:b/>
          <w:bCs/>
        </w:rPr>
        <w:t>Database module</w:t>
      </w:r>
      <w:r w:rsidRPr="00E13BCA">
        <w:t xml:space="preserve"> builds the operational database, while the </w:t>
      </w:r>
      <w:r w:rsidRPr="00E13BCA">
        <w:rPr>
          <w:b/>
          <w:bCs/>
        </w:rPr>
        <w:t>Redis/Kafka or Cloud/Data Engineering module</w:t>
      </w:r>
      <w:r w:rsidRPr="00E13BCA">
        <w:t xml:space="preserve"> can support data movement and the analytical side, depending on the programme architecture.</w:t>
      </w:r>
    </w:p>
    <w:p w14:paraId="290B8EF8" w14:textId="51E084DC" w:rsidR="00E13BCA" w:rsidRDefault="00E13BCA">
      <w:r>
        <w:t>Q25)</w:t>
      </w:r>
    </w:p>
    <w:p w14:paraId="4FCFAD28" w14:textId="19C1D2CD" w:rsidR="00E13BCA" w:rsidRDefault="00E13BCA">
      <w:pPr>
        <w:pBdr>
          <w:bottom w:val="double" w:sz="6" w:space="1" w:color="auto"/>
        </w:pBdr>
      </w:pPr>
      <w:r w:rsidRPr="00E13BCA">
        <w:t xml:space="preserve">An application log saying "transfer successful" only proves that the application reached that logging statement; it does not prove that the database transaction was committed successfully. Evidence would be a </w:t>
      </w:r>
      <w:r w:rsidRPr="00E13BCA">
        <w:rPr>
          <w:b/>
          <w:bCs/>
        </w:rPr>
        <w:t>committed database transaction</w:t>
      </w:r>
      <w:r w:rsidRPr="00E13BCA">
        <w:t>, with the corresponding debit and credit entries present and consistent, together with the transaction ID/audit record.</w:t>
      </w:r>
    </w:p>
    <w:p w14:paraId="75A023BA" w14:textId="650FAA1F" w:rsidR="00E13BCA" w:rsidRDefault="00E13BCA">
      <w:r>
        <w:t>Q26)</w:t>
      </w:r>
    </w:p>
    <w:p w14:paraId="4B2DDBEF" w14:textId="5B2918BD" w:rsidR="00E13BCA" w:rsidRDefault="00E13BCA">
      <w:pPr>
        <w:pBdr>
          <w:bottom w:val="double" w:sz="6" w:space="1" w:color="auto"/>
        </w:pBdr>
      </w:pPr>
      <w:r w:rsidRPr="00E13BCA">
        <w:t xml:space="preserve">I would </w:t>
      </w:r>
      <w:r w:rsidRPr="00E13BCA">
        <w:rPr>
          <w:b/>
          <w:bCs/>
        </w:rPr>
        <w:t xml:space="preserve">not allow </w:t>
      </w:r>
      <w:proofErr w:type="spellStart"/>
      <w:r w:rsidRPr="00E13BCA">
        <w:rPr>
          <w:b/>
          <w:bCs/>
        </w:rPr>
        <w:t>fsync</w:t>
      </w:r>
      <w:proofErr w:type="spellEnd"/>
      <w:r w:rsidRPr="00E13BCA">
        <w:rPr>
          <w:b/>
          <w:bCs/>
        </w:rPr>
        <w:t>=off on the core banking PostgreSQL server</w:t>
      </w:r>
      <w:r w:rsidRPr="00E13BCA">
        <w:t xml:space="preserve">, because it can acknowledge committed data before it is safely written to durable storage and can cause data loss or corruption after a crash. If permitted at all, it should be restricted to a </w:t>
      </w:r>
      <w:r w:rsidRPr="00E13BCA">
        <w:rPr>
          <w:b/>
          <w:bCs/>
        </w:rPr>
        <w:t>disposable development/test or rebuildable staging environment</w:t>
      </w:r>
      <w:r w:rsidRPr="00E13BCA">
        <w:t>, with no production or business-critical data and with the risk explicitly accepted</w:t>
      </w:r>
    </w:p>
    <w:p w14:paraId="39F7AD11" w14:textId="754C4A79" w:rsidR="00E13BCA" w:rsidRDefault="00E13BCA">
      <w:r>
        <w:t>Q27)</w:t>
      </w:r>
    </w:p>
    <w:p w14:paraId="33F101EC" w14:textId="217A1E5B" w:rsidR="00E13BCA" w:rsidRDefault="00E13BCA">
      <w:pPr>
        <w:pBdr>
          <w:bottom w:val="double" w:sz="6" w:space="1" w:color="auto"/>
        </w:pBdr>
      </w:pPr>
      <w:r w:rsidRPr="00E13BCA">
        <w:t xml:space="preserve">Keeping CHECK constraints in the database provides </w:t>
      </w:r>
      <w:r w:rsidRPr="00E13BCA">
        <w:rPr>
          <w:b/>
          <w:bCs/>
        </w:rPr>
        <w:t>centralized enforcement</w:t>
      </w:r>
      <w:r w:rsidRPr="00E13BCA">
        <w:t xml:space="preserve">, so every application, API, batch job, or script accessing the database must obey the rule. It also prevents invalid data from being stored even when an application has a bug or a new application is introduced. The application layer is genuinely appropriate for rules that depend on </w:t>
      </w:r>
      <w:r w:rsidRPr="00E13BCA">
        <w:rPr>
          <w:b/>
          <w:bCs/>
        </w:rPr>
        <w:t>complex external context or user interaction</w:t>
      </w:r>
      <w:r w:rsidRPr="00E13BCA">
        <w:t>, such as deciding which personalized offer to display based on several external services</w:t>
      </w:r>
    </w:p>
    <w:p w14:paraId="6EF8F6B5" w14:textId="07B1BCD3" w:rsidR="00E13BCA" w:rsidRDefault="00E13BCA">
      <w:r>
        <w:t>Q28)</w:t>
      </w:r>
    </w:p>
    <w:p w14:paraId="17032EE4" w14:textId="73B6C4ED" w:rsidR="00E13BCA" w:rsidRDefault="00E13BCA">
      <w:pPr>
        <w:pBdr>
          <w:bottom w:val="double" w:sz="6" w:space="1" w:color="auto"/>
        </w:pBdr>
      </w:pPr>
      <w:r w:rsidRPr="00E13BCA">
        <w:t xml:space="preserve">Four differences between PostgreSQL and Oracle that could cause problems during the merge are </w:t>
      </w:r>
      <w:r w:rsidRPr="00E13BCA">
        <w:rPr>
          <w:b/>
          <w:bCs/>
        </w:rPr>
        <w:t>SQL syntax and supported features</w:t>
      </w:r>
      <w:r w:rsidRPr="00E13BCA">
        <w:t xml:space="preserve">, </w:t>
      </w:r>
      <w:r w:rsidRPr="00E13BCA">
        <w:rPr>
          <w:b/>
          <w:bCs/>
        </w:rPr>
        <w:t>data types and type conversion</w:t>
      </w:r>
      <w:r w:rsidRPr="00E13BCA">
        <w:t xml:space="preserve">, </w:t>
      </w:r>
      <w:r w:rsidRPr="00E13BCA">
        <w:rPr>
          <w:b/>
          <w:bCs/>
        </w:rPr>
        <w:t>procedures/functions and programming languages</w:t>
      </w:r>
      <w:r w:rsidRPr="00E13BCA">
        <w:t xml:space="preserve">, and </w:t>
      </w:r>
      <w:r w:rsidRPr="00E13BCA">
        <w:rPr>
          <w:b/>
          <w:bCs/>
        </w:rPr>
        <w:t>database administration/configuration and tooling</w:t>
      </w:r>
      <w:r w:rsidRPr="00E13BCA">
        <w:t xml:space="preserve">. Differences in indexing, sequences/identity columns, transaction </w:t>
      </w:r>
      <w:proofErr w:type="spellStart"/>
      <w:r w:rsidRPr="00E13BCA">
        <w:t>behavior</w:t>
      </w:r>
      <w:proofErr w:type="spellEnd"/>
      <w:r w:rsidRPr="00E13BCA">
        <w:t>, and backup/recovery mechanisms could also require changes to applications and operational processes.</w:t>
      </w:r>
    </w:p>
    <w:p w14:paraId="76AD9EE9" w14:textId="0322408B" w:rsidR="00E13BCA" w:rsidRDefault="00E13BCA">
      <w:r>
        <w:lastRenderedPageBreak/>
        <w:t>Q29)</w:t>
      </w:r>
    </w:p>
    <w:p w14:paraId="190AB213" w14:textId="77777777" w:rsidR="00E13BCA" w:rsidRPr="00E13BCA" w:rsidRDefault="00E13BCA" w:rsidP="00E13BCA">
      <w:pPr>
        <w:pBdr>
          <w:bottom w:val="double" w:sz="6" w:space="1" w:color="auto"/>
        </w:pBdr>
      </w:pPr>
      <w:r w:rsidRPr="00E13BCA">
        <w:t>Moving from spreadsheets to a relational database will give the branch one central and consistent place to store information.</w:t>
      </w:r>
      <w:r w:rsidRPr="00E13BCA">
        <w:br/>
        <w:t>It will reduce duplicate records and make it easier to find, update, and report transaction data.</w:t>
      </w:r>
      <w:r w:rsidRPr="00E13BCA">
        <w:br/>
        <w:t>The database can also ensure that required information is entered correctly and that related records remain connected.</w:t>
      </w:r>
      <w:r w:rsidRPr="00E13BCA">
        <w:br/>
        <w:t>Multiple authorised users can work with the same up-to-date data instead of maintaining separate spreadsheet copies.</w:t>
      </w:r>
      <w:r w:rsidRPr="00E13BCA">
        <w:br/>
        <w:t>It can also provide better control over who can view or change sensitive information.</w:t>
      </w:r>
      <w:r w:rsidRPr="00E13BCA">
        <w:br/>
        <w:t>However, moving to a database will not automatically make incorrect business decisions correct.</w:t>
      </w:r>
      <w:r w:rsidRPr="00E13BCA">
        <w:br/>
        <w:t>It will not fix poor-quality data that is already entered, unclear processes, or incorrect requirements.</w:t>
      </w:r>
      <w:r w:rsidRPr="00E13BCA">
        <w:br/>
        <w:t>It also will not remove the need for backups, security, monitoring, and proper access controls.</w:t>
      </w:r>
      <w:r w:rsidRPr="00E13BCA">
        <w:br/>
        <w:t>The bank must define clear ownership of the data and decide who is allowed to create or change each type of information.</w:t>
      </w:r>
      <w:r w:rsidRPr="00E13BCA">
        <w:br/>
        <w:t>Staff must follow the new procedures instead of creating separate spreadsheets as unofficial records.</w:t>
      </w:r>
      <w:r w:rsidRPr="00E13BCA">
        <w:br/>
        <w:t>Data should be checked and cleaned before it is moved into the new system.</w:t>
      </w:r>
      <w:r w:rsidRPr="00E13BCA">
        <w:br/>
        <w:t>Regular backups, access reviews, and monitoring must also become part of normal branch operations.</w:t>
      </w:r>
    </w:p>
    <w:p w14:paraId="0B1DB3AE" w14:textId="77777777" w:rsidR="00E13BCA" w:rsidRPr="00E13BCA" w:rsidRDefault="00E13BCA">
      <w:pPr>
        <w:rPr>
          <w:lang w:val="en-US"/>
        </w:rPr>
      </w:pPr>
    </w:p>
    <w:sectPr w:rsidR="00E13BCA" w:rsidRPr="00E13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CA"/>
    <w:rsid w:val="001960ED"/>
    <w:rsid w:val="007730B2"/>
    <w:rsid w:val="00DE2D57"/>
    <w:rsid w:val="00E13BCA"/>
    <w:rsid w:val="00F7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41E6"/>
  <w15:chartTrackingRefBased/>
  <w15:docId w15:val="{0639A82A-B564-4CAE-A046-963D963A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2026-09-17T10:31:00Z</dcterms:created>
  <dcterms:modified xsi:type="dcterms:W3CDTF">2026-09-17T10:38:00Z</dcterms:modified>
</cp:coreProperties>
</file>