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B508E">
      <w:pPr>
        <w:spacing w:after="60"/>
        <w:jc w:val="center"/>
      </w:pPr>
      <w:r>
        <w:rPr>
          <w:rFonts w:ascii="Calibri" w:hAnsi="Calibri" w:eastAsia="Calibri" w:cs="Calibri"/>
          <w:b/>
          <w:bCs/>
          <w:color w:val="1F4E79"/>
          <w:sz w:val="32"/>
          <w:szCs w:val="32"/>
        </w:rPr>
        <w:t>ITM University Gwalior</w:t>
      </w:r>
    </w:p>
    <w:p w14:paraId="6CEB517B">
      <w:pPr>
        <w:spacing w:after="200"/>
        <w:jc w:val="center"/>
      </w:pPr>
      <w:r>
        <w:rPr>
          <w:rFonts w:ascii="Calibri" w:hAnsi="Calibri" w:eastAsia="Calibri" w:cs="Calibri"/>
          <w:b/>
          <w:bCs/>
          <w:color w:val="333333"/>
          <w:sz w:val="24"/>
          <w:szCs w:val="24"/>
        </w:rPr>
        <w:t>School of Computing and Intelligent Systems</w:t>
      </w:r>
    </w:p>
    <w:p w14:paraId="1400DDCC">
      <w:pPr>
        <w:spacing w:after="40"/>
        <w:jc w:val="center"/>
      </w:pPr>
      <w:r>
        <w:rPr>
          <w:rFonts w:ascii="Calibri" w:hAnsi="Calibri" w:eastAsia="Calibri" w:cs="Calibri"/>
          <w:b/>
          <w:bCs/>
          <w:color w:val="1F4E79"/>
          <w:sz w:val="26"/>
          <w:szCs w:val="26"/>
        </w:rPr>
        <w:t>Project-Based Learning (PBL)</w:t>
      </w:r>
    </w:p>
    <w:p w14:paraId="4AB47F24">
      <w:pPr>
        <w:pBdr>
          <w:bottom w:val="single" w:color="1F4E79" w:sz="12" w:space="6"/>
        </w:pBdr>
        <w:spacing w:after="240"/>
        <w:jc w:val="center"/>
      </w:pPr>
      <w:r>
        <w:rPr>
          <w:rFonts w:ascii="Calibri" w:hAnsi="Calibri" w:eastAsia="Calibri" w:cs="Calibri"/>
          <w:b/>
          <w:bCs/>
          <w:color w:val="1F4E79"/>
          <w:sz w:val="26"/>
          <w:szCs w:val="26"/>
        </w:rPr>
        <w:t>Mini Project Report — Submission Format</w:t>
      </w:r>
    </w:p>
    <w:p w14:paraId="6F8B5E08">
      <w:pPr>
        <w:spacing w:after="140"/>
      </w:pPr>
      <w:r>
        <w:rPr>
          <w:rFonts w:ascii="Calibri" w:hAnsi="Calibri" w:eastAsia="Calibri" w:cs="Calibri"/>
          <w:b/>
          <w:bCs/>
          <w:sz w:val="21"/>
          <w:szCs w:val="21"/>
        </w:rPr>
        <w:t xml:space="preserve">Course: </w:t>
      </w:r>
      <w:r>
        <w:rPr>
          <w:rFonts w:ascii="Calibri" w:hAnsi="Calibri" w:eastAsia="Calibri" w:cs="Calibri"/>
          <w:sz w:val="21"/>
          <w:szCs w:val="21"/>
        </w:rPr>
        <w:t>Data Analytics Using Python</w:t>
      </w:r>
    </w:p>
    <w:p w14:paraId="5F482E4E">
      <w:pPr>
        <w:spacing w:after="140"/>
      </w:pPr>
      <w:r>
        <w:rPr>
          <w:rFonts w:ascii="Calibri" w:hAnsi="Calibri" w:eastAsia="Calibri" w:cs="Calibri"/>
          <w:b/>
          <w:bCs/>
          <w:sz w:val="21"/>
          <w:szCs w:val="21"/>
        </w:rPr>
        <w:t xml:space="preserve">Course Code: </w:t>
      </w:r>
      <w:r>
        <w:rPr>
          <w:rFonts w:ascii="Calibri" w:hAnsi="Calibri" w:eastAsia="Calibri" w:cs="Calibri"/>
          <w:sz w:val="21"/>
          <w:szCs w:val="21"/>
        </w:rPr>
        <w:t>CSL0312</w:t>
      </w:r>
    </w:p>
    <w:p w14:paraId="08E357AF">
      <w:pPr>
        <w:spacing w:after="140"/>
      </w:pPr>
      <w:r>
        <w:rPr>
          <w:rFonts w:ascii="Calibri" w:hAnsi="Calibri" w:eastAsia="Calibri" w:cs="Calibri"/>
          <w:b/>
          <w:bCs/>
          <w:sz w:val="21"/>
          <w:szCs w:val="21"/>
        </w:rPr>
        <w:t xml:space="preserve">Program: </w:t>
      </w:r>
      <w:r>
        <w:rPr>
          <w:rFonts w:ascii="Calibri" w:hAnsi="Calibri" w:eastAsia="Calibri" w:cs="Calibri"/>
          <w:sz w:val="21"/>
          <w:szCs w:val="21"/>
        </w:rPr>
        <w:t>B.Tech. CSE (Artificial Intelligence &amp; Machine Learning)</w:t>
      </w:r>
    </w:p>
    <w:p w14:paraId="172DA372">
      <w:pPr>
        <w:spacing w:after="140"/>
      </w:pPr>
      <w:r>
        <w:rPr>
          <w:rFonts w:ascii="Calibri" w:hAnsi="Calibri" w:eastAsia="Calibri" w:cs="Calibri"/>
          <w:b/>
          <w:bCs/>
          <w:sz w:val="21"/>
          <w:szCs w:val="21"/>
        </w:rPr>
        <w:t xml:space="preserve">Semester: </w:t>
      </w:r>
      <w:r>
        <w:rPr>
          <w:rFonts w:ascii="Calibri" w:hAnsi="Calibri" w:eastAsia="Calibri" w:cs="Calibri"/>
          <w:sz w:val="21"/>
          <w:szCs w:val="21"/>
        </w:rPr>
        <w:t>III        Section: F</w:t>
      </w:r>
    </w:p>
    <w:p w14:paraId="59B6CE1C">
      <w:pPr>
        <w:spacing w:after="140"/>
      </w:pPr>
      <w:r>
        <w:rPr>
          <w:rFonts w:ascii="Calibri" w:hAnsi="Calibri" w:eastAsia="Calibri" w:cs="Calibri"/>
          <w:b/>
          <w:bCs/>
          <w:sz w:val="21"/>
          <w:szCs w:val="21"/>
        </w:rPr>
        <w:t xml:space="preserve">Academic Session: </w:t>
      </w:r>
      <w:r>
        <w:rPr>
          <w:rFonts w:ascii="Calibri" w:hAnsi="Calibri" w:eastAsia="Calibri" w:cs="Calibri"/>
          <w:sz w:val="21"/>
          <w:szCs w:val="21"/>
        </w:rPr>
        <w:t>July–Dec 2026</w:t>
      </w:r>
    </w:p>
    <w:p w14:paraId="38B3057B">
      <w:pPr>
        <w:spacing w:before="300" w:after="160"/>
      </w:pPr>
      <w:r>
        <w:rPr>
          <w:rFonts w:ascii="Calibri" w:hAnsi="Calibri" w:eastAsia="Calibri" w:cs="Calibri"/>
          <w:b/>
          <w:bCs/>
          <w:color w:val="1F4E79"/>
          <w:sz w:val="24"/>
          <w:szCs w:val="24"/>
        </w:rPr>
        <w:t>Project Details</w:t>
      </w:r>
    </w:p>
    <w:p w14:paraId="08DA3DAB">
      <w:pPr>
        <w:spacing w:after="140"/>
      </w:pPr>
      <w:r>
        <w:rPr>
          <w:rFonts w:ascii="Calibri" w:hAnsi="Calibri" w:eastAsia="Calibri" w:cs="Calibri"/>
          <w:b/>
          <w:bCs/>
          <w:sz w:val="21"/>
          <w:szCs w:val="21"/>
        </w:rPr>
        <w:t xml:space="preserve">Project Title: </w:t>
      </w:r>
      <w:r>
        <w:rPr>
          <w:rFonts w:ascii="Calibri" w:hAnsi="Calibri" w:eastAsia="Calibri" w:cs="Calibri"/>
          <w:sz w:val="21"/>
          <w:szCs w:val="21"/>
        </w:rPr>
        <w:t>Stock Price Trend Analysis Using Historical Data (NVIDIA Corporation – NVDA)</w:t>
      </w:r>
    </w:p>
    <w:p w14:paraId="1CBA54E7">
      <w:pPr>
        <w:spacing w:after="140"/>
      </w:pPr>
      <w:r>
        <w:rPr>
          <w:rFonts w:ascii="Calibri" w:hAnsi="Calibri" w:eastAsia="Calibri" w:cs="Calibri"/>
          <w:b/>
          <w:bCs/>
          <w:sz w:val="21"/>
          <w:szCs w:val="21"/>
        </w:rPr>
        <w:t xml:space="preserve">Domain (as per Section 6): </w:t>
      </w:r>
      <w:r>
        <w:rPr>
          <w:rFonts w:ascii="Calibri" w:hAnsi="Calibri" w:eastAsia="Calibri" w:cs="Calibri"/>
          <w:sz w:val="21"/>
          <w:szCs w:val="21"/>
        </w:rPr>
        <w:t>Financial &amp; Economics Analysis</w:t>
      </w:r>
    </w:p>
    <w:p w14:paraId="591B6049">
      <w:pPr>
        <w:spacing w:after="140"/>
      </w:pPr>
      <w:r>
        <w:rPr>
          <w:rFonts w:ascii="Calibri" w:hAnsi="Calibri" w:eastAsia="Calibri" w:cs="Calibri"/>
          <w:b/>
          <w:bCs/>
          <w:sz w:val="21"/>
          <w:szCs w:val="21"/>
        </w:rPr>
        <w:t xml:space="preserve">Team Leader Name &amp; Roll No.: </w:t>
      </w:r>
      <w:r>
        <w:rPr>
          <w:rFonts w:ascii="Calibri" w:hAnsi="Calibri" w:eastAsia="Calibri" w:cs="Calibri"/>
          <w:sz w:val="21"/>
          <w:szCs w:val="21"/>
        </w:rPr>
        <w:t>K Anvesh Reddy (BETN1AI25168)</w:t>
      </w:r>
    </w:p>
    <w:p w14:paraId="2C5BB845">
      <w:pPr>
        <w:spacing w:after="140"/>
      </w:pPr>
      <w:r>
        <w:rPr>
          <w:rFonts w:ascii="Calibri" w:hAnsi="Calibri" w:eastAsia="Calibri" w:cs="Calibri"/>
          <w:b/>
          <w:bCs/>
          <w:sz w:val="21"/>
          <w:szCs w:val="21"/>
        </w:rPr>
        <w:t xml:space="preserve">Team Member Name &amp; Roll No.: </w:t>
      </w:r>
      <w:r>
        <w:rPr>
          <w:rFonts w:ascii="Calibri" w:hAnsi="Calibri" w:eastAsia="Calibri" w:cs="Calibri"/>
          <w:sz w:val="21"/>
          <w:szCs w:val="21"/>
        </w:rPr>
        <w:t>G Madhava Reddy (BETN1AI25161)</w:t>
      </w:r>
    </w:p>
    <w:p w14:paraId="79BB85A8">
      <w:pPr>
        <w:spacing w:after="140"/>
      </w:pPr>
      <w:r>
        <w:rPr>
          <w:rFonts w:ascii="Calibri" w:hAnsi="Calibri" w:eastAsia="Calibri" w:cs="Calibri"/>
          <w:b/>
          <w:bCs/>
          <w:sz w:val="21"/>
          <w:szCs w:val="21"/>
        </w:rPr>
        <w:t xml:space="preserve">Team Member Name &amp; Roll No.: </w:t>
      </w:r>
      <w:r>
        <w:rPr>
          <w:rFonts w:ascii="Calibri" w:hAnsi="Calibri" w:eastAsia="Calibri" w:cs="Calibri"/>
          <w:sz w:val="21"/>
          <w:szCs w:val="21"/>
        </w:rPr>
        <w:t>K Karthik (BETN1AI25179)</w:t>
      </w:r>
    </w:p>
    <w:p w14:paraId="08AAB306">
      <w:pPr>
        <w:spacing w:after="140"/>
      </w:pPr>
      <w:r>
        <w:rPr>
          <w:rFonts w:ascii="Calibri" w:hAnsi="Calibri" w:eastAsia="Calibri" w:cs="Calibri"/>
          <w:b/>
          <w:bCs/>
          <w:sz w:val="21"/>
          <w:szCs w:val="21"/>
        </w:rPr>
        <w:t xml:space="preserve">Faculty Mentor: </w:t>
      </w:r>
      <w:r>
        <w:rPr>
          <w:rFonts w:ascii="Calibri" w:hAnsi="Calibri" w:eastAsia="Calibri" w:cs="Calibri"/>
          <w:sz w:val="21"/>
          <w:szCs w:val="21"/>
        </w:rPr>
        <w:t>Dr. Sanjay Jain</w:t>
      </w:r>
    </w:p>
    <w:p w14:paraId="00551C04">
      <w:pPr>
        <w:spacing w:after="140"/>
      </w:pPr>
      <w:r>
        <w:rPr>
          <w:rFonts w:ascii="Calibri" w:hAnsi="Calibri" w:eastAsia="Calibri" w:cs="Calibri"/>
          <w:b/>
          <w:bCs/>
          <w:sz w:val="21"/>
          <w:szCs w:val="21"/>
        </w:rPr>
        <w:t xml:space="preserve">Date of Submission: </w:t>
      </w:r>
      <w:r>
        <w:rPr>
          <w:rFonts w:ascii="Calibri" w:hAnsi="Calibri" w:eastAsia="Calibri" w:cs="Calibri"/>
          <w:sz w:val="21"/>
          <w:szCs w:val="21"/>
        </w:rPr>
        <w:t>19-10-2026</w:t>
      </w:r>
    </w:p>
    <w:p w14:paraId="39926B25">
      <w:r>
        <w:br w:type="page"/>
      </w:r>
    </w:p>
    <w:p w14:paraId="4BA4B698">
      <w:pPr>
        <w:pStyle w:val="2"/>
        <w:keepNext/>
        <w:shd w:val="clear" w:fill="DDEBF7"/>
        <w:spacing w:before="320" w:after="160"/>
      </w:pPr>
      <w:r>
        <w:rPr>
          <w:rFonts w:ascii="Calibri" w:hAnsi="Calibri" w:eastAsia="Calibri" w:cs="Calibri"/>
          <w:b/>
          <w:bCs/>
          <w:color w:val="1F4E79"/>
          <w:sz w:val="26"/>
          <w:szCs w:val="26"/>
        </w:rPr>
        <w:t>1. Introduction &amp; Problem Statement</w:t>
      </w:r>
    </w:p>
    <w:p w14:paraId="43E992E2">
      <w:pPr>
        <w:spacing w:after="120" w:line="264" w:lineRule="auto"/>
        <w:jc w:val="both"/>
      </w:pPr>
      <w:r>
        <w:rPr>
          <w:rFonts w:ascii="Calibri" w:hAnsi="Calibri" w:eastAsia="Calibri" w:cs="Calibri"/>
          <w:sz w:val="21"/>
          <w:szCs w:val="21"/>
        </w:rPr>
        <w:t>Stock prices change every day under the influence of market demand, company performance, economic news and investor sentiment. Because prices keep moving, it is difficult for investors to recognise the direction of the market by looking at raw historical figures alone, and investing without a proper trend analysis can lead to financial losses. Analysing historical data helps investors, financial analysts and students understand past market behaviour and make more informed, data-driven observations.</w:t>
      </w:r>
    </w:p>
    <w:p w14:paraId="692C7212">
      <w:pPr>
        <w:spacing w:after="120" w:line="264" w:lineRule="auto"/>
        <w:jc w:val="both"/>
      </w:pPr>
      <w:r>
        <w:rPr>
          <w:rFonts w:ascii="Calibri" w:hAnsi="Calibri" w:eastAsia="Calibri" w:cs="Calibri"/>
          <w:sz w:val="21"/>
          <w:szCs w:val="21"/>
        </w:rPr>
        <w:t>This project studies the historical share price of NVIDIA Corporation (NVDA) from 2 January 2020 to 30 July 2026 using Python. The problem addressed is: how can the direction, strength, momentum and volume support of a stock’s price trend be identified clearly from its historical data? To answer this, the raw data downloaded from Yahoo Finance was cleaned and validated, explored statistically and then analysed with widely used technical indicators — the 20-day and 50-day Exponential Moving Averages (EMA), the Moving Average Convergence Divergence (MACD), the Average Directional Index (ADX) with its directional indicators (+DI and −DI), and trading volume.</w:t>
      </w:r>
    </w:p>
    <w:p w14:paraId="2D678936">
      <w:pPr>
        <w:spacing w:after="120" w:line="264" w:lineRule="auto"/>
        <w:jc w:val="both"/>
      </w:pPr>
      <w:r>
        <w:rPr>
          <w:rFonts w:ascii="Calibri" w:hAnsi="Calibri" w:eastAsia="Calibri" w:cs="Calibri"/>
          <w:sz w:val="21"/>
          <w:szCs w:val="21"/>
        </w:rPr>
        <w:t>The signals from these indicators were combined by a rule-based classifier that labels each trading day as Strong Bullish, Strong Bearish or Mixed/Weak. The results are presented through charts and tables so that price movements are easy to interpret. The scope of the project is limited to descriptive trend analysis of a single stock using Open, High, Low, Close and Volume data; it does not forecast future prices and the findings are not investment advice, since technical indicators are signals rather than guaranteed predictions.</w:t>
      </w:r>
    </w:p>
    <w:p w14:paraId="3F388B61">
      <w:pPr>
        <w:pStyle w:val="2"/>
        <w:keepNext/>
        <w:shd w:val="clear" w:fill="DDEBF7"/>
        <w:spacing w:before="320" w:after="160"/>
      </w:pPr>
      <w:r>
        <w:rPr>
          <w:rFonts w:ascii="Calibri" w:hAnsi="Calibri" w:eastAsia="Calibri" w:cs="Calibri"/>
          <w:b/>
          <w:bCs/>
          <w:color w:val="1F4E79"/>
          <w:sz w:val="26"/>
          <w:szCs w:val="26"/>
        </w:rPr>
        <w:t>2. Dataset Description &amp; Source</w:t>
      </w:r>
    </w:p>
    <w:p w14:paraId="4A903854">
      <w:pPr>
        <w:spacing w:after="140"/>
      </w:pPr>
      <w:r>
        <w:rPr>
          <w:rFonts w:ascii="Calibri" w:hAnsi="Calibri" w:eastAsia="Calibri" w:cs="Calibri"/>
          <w:b/>
          <w:bCs/>
          <w:sz w:val="21"/>
          <w:szCs w:val="21"/>
        </w:rPr>
        <w:t xml:space="preserve">Dataset Name: </w:t>
      </w:r>
      <w:r>
        <w:rPr>
          <w:rFonts w:ascii="Calibri" w:hAnsi="Calibri" w:eastAsia="Calibri" w:cs="Calibri"/>
          <w:sz w:val="21"/>
          <w:szCs w:val="21"/>
        </w:rPr>
        <w:t>NVIDIA Corporation (NVDA) Historical Price Data (NVDA_Historical_Data.csv)</w:t>
      </w:r>
    </w:p>
    <w:p w14:paraId="5ED558B8">
      <w:pPr>
        <w:spacing w:after="140"/>
      </w:pPr>
      <w:r>
        <w:rPr>
          <w:rFonts w:ascii="Calibri" w:hAnsi="Calibri" w:eastAsia="Calibri" w:cs="Calibri"/>
          <w:b/>
          <w:bCs/>
          <w:sz w:val="21"/>
          <w:szCs w:val="21"/>
        </w:rPr>
        <w:t xml:space="preserve">Source / Organization: </w:t>
      </w:r>
      <w:r>
        <w:rPr>
          <w:rFonts w:ascii="Calibri" w:hAnsi="Calibri" w:eastAsia="Calibri" w:cs="Calibri"/>
          <w:sz w:val="21"/>
          <w:szCs w:val="21"/>
        </w:rPr>
        <w:t>Yahoo Finance</w:t>
      </w:r>
    </w:p>
    <w:p w14:paraId="09E405DE">
      <w:pPr>
        <w:spacing w:after="140"/>
      </w:pPr>
      <w:r>
        <w:rPr>
          <w:rFonts w:ascii="Calibri" w:hAnsi="Calibri" w:eastAsia="Calibri" w:cs="Calibri"/>
          <w:b/>
          <w:bCs/>
          <w:sz w:val="21"/>
          <w:szCs w:val="21"/>
        </w:rPr>
        <w:t xml:space="preserve">Dataset Link (URL): </w:t>
      </w:r>
      <w:r>
        <w:rPr>
          <w:rFonts w:ascii="Calibri" w:hAnsi="Calibri" w:eastAsia="Calibri" w:cs="Calibri"/>
          <w:sz w:val="21"/>
          <w:szCs w:val="21"/>
        </w:rPr>
        <w:t>https://finance.yahoo.com/quote/NVDA/history/</w:t>
      </w:r>
    </w:p>
    <w:p w14:paraId="2C9B7FDF">
      <w:pPr>
        <w:spacing w:after="140"/>
      </w:pPr>
      <w:r>
        <w:rPr>
          <w:rFonts w:ascii="Calibri" w:hAnsi="Calibri" w:eastAsia="Calibri" w:cs="Calibri"/>
          <w:b/>
          <w:bCs/>
          <w:sz w:val="21"/>
          <w:szCs w:val="21"/>
        </w:rPr>
        <w:t>Type of Dataset: ☒ Public    ☐ Private    ☐ Self-Collected</w:t>
      </w:r>
    </w:p>
    <w:p w14:paraId="418AE563">
      <w:pPr>
        <w:spacing w:after="140"/>
      </w:pPr>
      <w:r>
        <w:rPr>
          <w:rFonts w:ascii="Calibri" w:hAnsi="Calibri" w:eastAsia="Calibri" w:cs="Calibri"/>
          <w:b/>
          <w:bCs/>
          <w:sz w:val="21"/>
          <w:szCs w:val="21"/>
        </w:rPr>
        <w:t xml:space="preserve">Number of Records: </w:t>
      </w:r>
      <w:r>
        <w:rPr>
          <w:rFonts w:ascii="Calibri" w:hAnsi="Calibri" w:eastAsia="Calibri" w:cs="Calibri"/>
          <w:sz w:val="21"/>
          <w:szCs w:val="21"/>
        </w:rPr>
        <w:t>1,652 trading days (2020-01-02 to 2026-07-30)</w:t>
      </w:r>
    </w:p>
    <w:p w14:paraId="0E48447D">
      <w:pPr>
        <w:spacing w:after="140"/>
      </w:pPr>
      <w:r>
        <w:rPr>
          <w:rFonts w:ascii="Calibri" w:hAnsi="Calibri" w:eastAsia="Calibri" w:cs="Calibri"/>
          <w:b/>
          <w:bCs/>
          <w:sz w:val="21"/>
          <w:szCs w:val="21"/>
        </w:rPr>
        <w:t xml:space="preserve">Number of Attributes/Columns: </w:t>
      </w:r>
      <w:r>
        <w:rPr>
          <w:rFonts w:ascii="Calibri" w:hAnsi="Calibri" w:eastAsia="Calibri" w:cs="Calibri"/>
          <w:sz w:val="21"/>
          <w:szCs w:val="21"/>
        </w:rPr>
        <w:t>6 (Date, Close, High, Low, Open, Volume)</w:t>
      </w:r>
    </w:p>
    <w:p w14:paraId="109C676F">
      <w:pPr>
        <w:spacing w:after="140"/>
      </w:pPr>
      <w:r>
        <w:rPr>
          <w:rFonts w:ascii="Calibri" w:hAnsi="Calibri" w:eastAsia="Calibri" w:cs="Calibri"/>
          <w:b/>
          <w:bCs/>
          <w:sz w:val="21"/>
          <w:szCs w:val="21"/>
        </w:rPr>
        <w:t xml:space="preserve">☒ Dataset meets minimum quality criteria (Section 7): </w:t>
      </w:r>
      <w:r>
        <w:rPr>
          <w:rFonts w:ascii="Calibri" w:hAnsi="Calibri" w:eastAsia="Calibri" w:cs="Calibri"/>
          <w:sz w:val="21"/>
          <w:szCs w:val="21"/>
        </w:rPr>
        <w:t>1,652 records (minimum 500), 6 attributes (minimum 5) and zero missing values after removing the two header rows of the Yahoo Finance file.</w:t>
      </w:r>
    </w:p>
    <w:p w14:paraId="3204B540">
      <w:pPr>
        <w:keepNext/>
        <w:spacing w:before="160" w:after="80"/>
      </w:pPr>
      <w:r>
        <w:rPr>
          <w:rFonts w:ascii="Calibri" w:hAnsi="Calibri" w:eastAsia="Calibri" w:cs="Calibri"/>
          <w:b/>
          <w:bCs/>
          <w:color w:val="1F4E79"/>
          <w:sz w:val="22"/>
          <w:szCs w:val="22"/>
        </w:rPr>
        <w:t>Brief description of attributes/columns</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6706"/>
      </w:tblGrid>
      <w:tr w14:paraId="2884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186F3D2">
            <w:pPr>
              <w:jc w:val="center"/>
            </w:pPr>
            <w:r>
              <w:rPr>
                <w:rFonts w:ascii="Calibri" w:hAnsi="Calibri" w:eastAsia="Calibri" w:cs="Calibri"/>
                <w:b/>
                <w:bCs/>
                <w:color w:val="FFFFFF"/>
                <w:sz w:val="19"/>
                <w:szCs w:val="19"/>
              </w:rPr>
              <w:t>Column</w:t>
            </w:r>
          </w:p>
        </w:tc>
        <w:tc>
          <w:tcPr>
            <w:tcW w:w="15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5123A9D0">
            <w:pPr>
              <w:jc w:val="center"/>
            </w:pPr>
            <w:r>
              <w:rPr>
                <w:rFonts w:ascii="Calibri" w:hAnsi="Calibri" w:eastAsia="Calibri" w:cs="Calibri"/>
                <w:b/>
                <w:bCs/>
                <w:color w:val="FFFFFF"/>
                <w:sz w:val="19"/>
                <w:szCs w:val="19"/>
              </w:rPr>
              <w:t>Final Data Type</w:t>
            </w:r>
          </w:p>
        </w:tc>
        <w:tc>
          <w:tcPr>
            <w:tcW w:w="67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E8E91C9">
            <w:pPr>
              <w:jc w:val="center"/>
            </w:pPr>
            <w:r>
              <w:rPr>
                <w:rFonts w:ascii="Calibri" w:hAnsi="Calibri" w:eastAsia="Calibri" w:cs="Calibri"/>
                <w:b/>
                <w:bCs/>
                <w:color w:val="FFFFFF"/>
                <w:sz w:val="19"/>
                <w:szCs w:val="19"/>
              </w:rPr>
              <w:t>Description</w:t>
            </w:r>
          </w:p>
        </w:tc>
      </w:tr>
      <w:tr w14:paraId="5069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F212801">
            <w:pPr>
              <w:jc w:val="left"/>
            </w:pPr>
            <w:r>
              <w:rPr>
                <w:rFonts w:ascii="Calibri" w:hAnsi="Calibri" w:eastAsia="Calibri" w:cs="Calibri"/>
                <w:b/>
                <w:bCs/>
                <w:sz w:val="19"/>
                <w:szCs w:val="19"/>
              </w:rPr>
              <w:t>Date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31A561C">
            <w:pPr>
              <w:jc w:val="center"/>
            </w:pPr>
            <w:r>
              <w:rPr>
                <w:rFonts w:ascii="Calibri" w:hAnsi="Calibri" w:eastAsia="Calibri" w:cs="Calibri"/>
                <w:b w:val="0"/>
                <w:bCs w:val="0"/>
                <w:sz w:val="19"/>
                <w:szCs w:val="19"/>
              </w:rPr>
              <w:t>datetime64[ns]</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9155D5">
            <w:pPr>
              <w:jc w:val="left"/>
            </w:pPr>
            <w:r>
              <w:rPr>
                <w:rFonts w:ascii="Calibri" w:hAnsi="Calibri" w:eastAsia="Calibri" w:cs="Calibri"/>
                <w:b w:val="0"/>
                <w:bCs w:val="0"/>
                <w:sz w:val="19"/>
                <w:szCs w:val="19"/>
              </w:rPr>
              <w:t>Trading date; the dataset is sorted from oldest to newest.</w:t>
            </w:r>
          </w:p>
        </w:tc>
      </w:tr>
      <w:tr w14:paraId="16F7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FF0574">
            <w:pPr>
              <w:jc w:val="left"/>
            </w:pPr>
            <w:r>
              <w:rPr>
                <w:rFonts w:ascii="Calibri" w:hAnsi="Calibri" w:eastAsia="Calibri" w:cs="Calibri"/>
                <w:b/>
                <w:bCs/>
                <w:sz w:val="19"/>
                <w:szCs w:val="19"/>
              </w:rPr>
              <w:t>Open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3681BEB">
            <w:pPr>
              <w:jc w:val="center"/>
            </w:pPr>
            <w:r>
              <w:rPr>
                <w:rFonts w:ascii="Calibri" w:hAnsi="Calibri" w:eastAsia="Calibri" w:cs="Calibri"/>
                <w:b w:val="0"/>
                <w:bCs w:val="0"/>
                <w:sz w:val="19"/>
                <w:szCs w:val="19"/>
              </w:rPr>
              <w:t>float64</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7DDF67F">
            <w:pPr>
              <w:jc w:val="left"/>
            </w:pPr>
            <w:r>
              <w:rPr>
                <w:rFonts w:ascii="Calibri" w:hAnsi="Calibri" w:eastAsia="Calibri" w:cs="Calibri"/>
                <w:b w:val="0"/>
                <w:bCs w:val="0"/>
                <w:sz w:val="19"/>
                <w:szCs w:val="19"/>
              </w:rPr>
              <w:t>Price of the first trade of the day (USD).</w:t>
            </w:r>
          </w:p>
        </w:tc>
      </w:tr>
      <w:tr w14:paraId="261B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A65369">
            <w:pPr>
              <w:jc w:val="left"/>
            </w:pPr>
            <w:r>
              <w:rPr>
                <w:rFonts w:ascii="Calibri" w:hAnsi="Calibri" w:eastAsia="Calibri" w:cs="Calibri"/>
                <w:b/>
                <w:bCs/>
                <w:sz w:val="19"/>
                <w:szCs w:val="19"/>
              </w:rPr>
              <w:t>High</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6F340CD">
            <w:pPr>
              <w:jc w:val="center"/>
            </w:pPr>
            <w:r>
              <w:rPr>
                <w:rFonts w:ascii="Calibri" w:hAnsi="Calibri" w:eastAsia="Calibri" w:cs="Calibri"/>
                <w:b w:val="0"/>
                <w:bCs w:val="0"/>
                <w:sz w:val="19"/>
                <w:szCs w:val="19"/>
              </w:rPr>
              <w:t>float64</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948EA99">
            <w:pPr>
              <w:jc w:val="left"/>
            </w:pPr>
            <w:r>
              <w:rPr>
                <w:rFonts w:ascii="Calibri" w:hAnsi="Calibri" w:eastAsia="Calibri" w:cs="Calibri"/>
                <w:b w:val="0"/>
                <w:bCs w:val="0"/>
                <w:sz w:val="19"/>
                <w:szCs w:val="19"/>
              </w:rPr>
              <w:t>Highest traded price during the day (USD).</w:t>
            </w:r>
          </w:p>
        </w:tc>
      </w:tr>
      <w:tr w14:paraId="2F49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6F1BFE8">
            <w:pPr>
              <w:jc w:val="left"/>
            </w:pPr>
            <w:r>
              <w:rPr>
                <w:rFonts w:ascii="Calibri" w:hAnsi="Calibri" w:eastAsia="Calibri" w:cs="Calibri"/>
                <w:b/>
                <w:bCs/>
                <w:sz w:val="19"/>
                <w:szCs w:val="19"/>
              </w:rPr>
              <w:t>Low</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D8FC7EA">
            <w:pPr>
              <w:jc w:val="center"/>
            </w:pPr>
            <w:r>
              <w:rPr>
                <w:rFonts w:ascii="Calibri" w:hAnsi="Calibri" w:eastAsia="Calibri" w:cs="Calibri"/>
                <w:b w:val="0"/>
                <w:bCs w:val="0"/>
                <w:sz w:val="19"/>
                <w:szCs w:val="19"/>
              </w:rPr>
              <w:t>float64</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C71E93D">
            <w:pPr>
              <w:jc w:val="left"/>
            </w:pPr>
            <w:r>
              <w:rPr>
                <w:rFonts w:ascii="Calibri" w:hAnsi="Calibri" w:eastAsia="Calibri" w:cs="Calibri"/>
                <w:b w:val="0"/>
                <w:bCs w:val="0"/>
                <w:sz w:val="19"/>
                <w:szCs w:val="19"/>
              </w:rPr>
              <w:t>Lowest traded price during the day (USD).</w:t>
            </w:r>
          </w:p>
        </w:tc>
      </w:tr>
      <w:tr w14:paraId="0AF4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2C670E">
            <w:pPr>
              <w:jc w:val="left"/>
            </w:pPr>
            <w:r>
              <w:rPr>
                <w:rFonts w:ascii="Calibri" w:hAnsi="Calibri" w:eastAsia="Calibri" w:cs="Calibri"/>
                <w:b/>
                <w:bCs/>
                <w:sz w:val="19"/>
                <w:szCs w:val="19"/>
              </w:rPr>
              <w:t>Close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B2BF599">
            <w:pPr>
              <w:jc w:val="center"/>
            </w:pPr>
            <w:r>
              <w:rPr>
                <w:rFonts w:ascii="Calibri" w:hAnsi="Calibri" w:eastAsia="Calibri" w:cs="Calibri"/>
                <w:b w:val="0"/>
                <w:bCs w:val="0"/>
                <w:sz w:val="19"/>
                <w:szCs w:val="19"/>
              </w:rPr>
              <w:t>float64</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66F5D55">
            <w:pPr>
              <w:jc w:val="left"/>
            </w:pPr>
            <w:r>
              <w:rPr>
                <w:rFonts w:ascii="Calibri" w:hAnsi="Calibri" w:eastAsia="Calibri" w:cs="Calibri"/>
                <w:b w:val="0"/>
                <w:bCs w:val="0"/>
                <w:sz w:val="19"/>
                <w:szCs w:val="19"/>
              </w:rPr>
              <w:t>Closing price of the day (USD), as provided by Yahoo Finance (prices appear split-adjusted).</w:t>
            </w:r>
          </w:p>
        </w:tc>
      </w:tr>
      <w:tr w14:paraId="0925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62E757">
            <w:pPr>
              <w:jc w:val="left"/>
            </w:pPr>
            <w:r>
              <w:rPr>
                <w:rFonts w:ascii="Calibri" w:hAnsi="Calibri" w:eastAsia="Calibri" w:cs="Calibri"/>
                <w:b/>
                <w:bCs/>
                <w:sz w:val="19"/>
                <w:szCs w:val="19"/>
              </w:rPr>
              <w:t>Volume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367ADCA">
            <w:pPr>
              <w:jc w:val="center"/>
            </w:pPr>
            <w:r>
              <w:rPr>
                <w:rFonts w:ascii="Calibri" w:hAnsi="Calibri" w:eastAsia="Calibri" w:cs="Calibri"/>
                <w:b w:val="0"/>
                <w:bCs w:val="0"/>
                <w:sz w:val="19"/>
                <w:szCs w:val="19"/>
              </w:rPr>
              <w:t>float64</w:t>
            </w:r>
          </w:p>
        </w:tc>
        <w:tc>
          <w:tcPr>
            <w:tcW w:w="67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1C35683">
            <w:pPr>
              <w:jc w:val="left"/>
            </w:pPr>
            <w:r>
              <w:rPr>
                <w:rFonts w:ascii="Calibri" w:hAnsi="Calibri" w:eastAsia="Calibri" w:cs="Calibri"/>
                <w:b w:val="0"/>
                <w:bCs w:val="0"/>
                <w:sz w:val="19"/>
                <w:szCs w:val="19"/>
              </w:rPr>
              <w:t>Number of shares traded during the day.</w:t>
            </w:r>
          </w:p>
        </w:tc>
      </w:tr>
    </w:tbl>
    <w:p w14:paraId="0E07BDC3">
      <w:pPr>
        <w:pStyle w:val="2"/>
        <w:keepNext/>
        <w:shd w:val="clear" w:fill="DDEBF7"/>
        <w:spacing w:before="320" w:after="160"/>
      </w:pPr>
      <w:r>
        <w:rPr>
          <w:rFonts w:ascii="Calibri" w:hAnsi="Calibri" w:eastAsia="Calibri" w:cs="Calibri"/>
          <w:b/>
          <w:bCs/>
          <w:color w:val="1F4E79"/>
          <w:sz w:val="26"/>
          <w:szCs w:val="26"/>
        </w:rPr>
        <w:t>3. Data Cleaning &amp; Preprocessing</w:t>
      </w:r>
    </w:p>
    <w:p w14:paraId="2CDD45B5">
      <w:pPr>
        <w:spacing w:after="120" w:line="264" w:lineRule="auto"/>
        <w:jc w:val="both"/>
      </w:pPr>
      <w:r>
        <w:rPr>
          <w:rFonts w:ascii="Calibri" w:hAnsi="Calibri" w:eastAsia="Calibri" w:cs="Calibri"/>
          <w:sz w:val="21"/>
          <w:szCs w:val="21"/>
        </w:rPr>
        <w:t>The raw CSV exported from Yahoo Finance contains two extra header rows (“Ticker” and “Date”) below the column names, which made every column load as text. The following steps were carried out in Google Colab and verified at each stage.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6506"/>
      </w:tblGrid>
      <w:tr w14:paraId="391A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63AC4A1">
            <w:pPr>
              <w:jc w:val="center"/>
            </w:pPr>
            <w:r>
              <w:rPr>
                <w:rFonts w:ascii="Calibri" w:hAnsi="Calibri" w:eastAsia="Calibri" w:cs="Calibri"/>
                <w:b/>
                <w:bCs/>
                <w:color w:val="FFFFFF"/>
                <w:sz w:val="19"/>
                <w:szCs w:val="19"/>
              </w:rPr>
              <w:t>S. No.</w:t>
            </w:r>
          </w:p>
        </w:tc>
        <w:tc>
          <w:tcPr>
            <w:tcW w:w="28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57E5F506">
            <w:pPr>
              <w:jc w:val="center"/>
            </w:pPr>
            <w:r>
              <w:rPr>
                <w:rFonts w:ascii="Calibri" w:hAnsi="Calibri" w:eastAsia="Calibri" w:cs="Calibri"/>
                <w:b/>
                <w:bCs/>
                <w:color w:val="FFFFFF"/>
                <w:sz w:val="19"/>
                <w:szCs w:val="19"/>
              </w:rPr>
              <w:t>Step</w:t>
            </w:r>
          </w:p>
        </w:tc>
        <w:tc>
          <w:tcPr>
            <w:tcW w:w="65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D937C81">
            <w:pPr>
              <w:jc w:val="center"/>
            </w:pPr>
            <w:r>
              <w:rPr>
                <w:rFonts w:ascii="Calibri" w:hAnsi="Calibri" w:eastAsia="Calibri" w:cs="Calibri"/>
                <w:b/>
                <w:bCs/>
                <w:color w:val="FFFFFF"/>
                <w:sz w:val="19"/>
                <w:szCs w:val="19"/>
              </w:rPr>
              <w:t>Action and Result</w:t>
            </w:r>
          </w:p>
        </w:tc>
      </w:tr>
      <w:tr w14:paraId="6714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2E39DB5">
            <w:pPr>
              <w:jc w:val="center"/>
            </w:pPr>
            <w:r>
              <w:rPr>
                <w:rFonts w:ascii="Calibri" w:hAnsi="Calibri" w:eastAsia="Calibri" w:cs="Calibri"/>
                <w:sz w:val="19"/>
                <w:szCs w:val="19"/>
              </w:rPr>
              <w:t>1</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967839">
            <w:pPr>
              <w:jc w:val="left"/>
            </w:pPr>
            <w:r>
              <w:rPr>
                <w:rFonts w:ascii="Calibri" w:hAnsi="Calibri" w:eastAsia="Calibri" w:cs="Calibri"/>
                <w:sz w:val="19"/>
                <w:szCs w:val="19"/>
              </w:rPr>
              <w:t>Load data</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DEBE2C3">
            <w:pPr>
              <w:jc w:val="left"/>
            </w:pPr>
            <w:r>
              <w:rPr>
                <w:rFonts w:ascii="Calibri" w:hAnsi="Calibri" w:eastAsia="Calibri" w:cs="Calibri"/>
                <w:sz w:val="19"/>
                <w:szCs w:val="19"/>
              </w:rPr>
              <w:t>NumPy, pandas, Matplotlib and Seaborn were imported and the CSV was read into a DataFrame named stock.</w:t>
            </w:r>
          </w:p>
        </w:tc>
      </w:tr>
      <w:tr w14:paraId="0B82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696C7CF">
            <w:pPr>
              <w:jc w:val="center"/>
            </w:pPr>
            <w:r>
              <w:rPr>
                <w:rFonts w:ascii="Calibri" w:hAnsi="Calibri" w:eastAsia="Calibri" w:cs="Calibri"/>
                <w:sz w:val="19"/>
                <w:szCs w:val="19"/>
              </w:rPr>
              <w:t>2</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C3AFED6">
            <w:pPr>
              <w:jc w:val="left"/>
            </w:pPr>
            <w:r>
              <w:rPr>
                <w:rFonts w:ascii="Calibri" w:hAnsi="Calibri" w:eastAsia="Calibri" w:cs="Calibri"/>
                <w:sz w:val="19"/>
                <w:szCs w:val="19"/>
              </w:rPr>
              <w:t>Remove extra header rows</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8E5105D">
            <w:pPr>
              <w:jc w:val="left"/>
            </w:pPr>
            <w:r>
              <w:rPr>
                <w:rFonts w:ascii="Calibri" w:hAnsi="Calibri" w:eastAsia="Calibri" w:cs="Calibri"/>
                <w:sz w:val="19"/>
                <w:szCs w:val="19"/>
              </w:rPr>
              <w:t>The “Ticker” and “Date” rows (index 0 and 1) were dropped and the index was reset, leaving 1,652 records.</w:t>
            </w:r>
          </w:p>
        </w:tc>
      </w:tr>
      <w:tr w14:paraId="1898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436AD0">
            <w:pPr>
              <w:jc w:val="center"/>
            </w:pPr>
            <w:r>
              <w:rPr>
                <w:rFonts w:ascii="Calibri" w:hAnsi="Calibri" w:eastAsia="Calibri" w:cs="Calibri"/>
                <w:sz w:val="19"/>
                <w:szCs w:val="19"/>
              </w:rPr>
              <w:t>3</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5C8F50C">
            <w:pPr>
              <w:jc w:val="left"/>
            </w:pPr>
            <w:r>
              <w:rPr>
                <w:rFonts w:ascii="Calibri" w:hAnsi="Calibri" w:eastAsia="Calibri" w:cs="Calibri"/>
                <w:sz w:val="19"/>
                <w:szCs w:val="19"/>
              </w:rPr>
              <w:t>Rename column</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0A82EB6">
            <w:pPr>
              <w:jc w:val="left"/>
            </w:pPr>
            <w:r>
              <w:rPr>
                <w:rFonts w:ascii="Calibri" w:hAnsi="Calibri" w:eastAsia="Calibri" w:cs="Calibri"/>
                <w:sz w:val="19"/>
                <w:szCs w:val="19"/>
              </w:rPr>
              <w:t>The first column, named “Price” by Yahoo Finance, was renamed “Date”.</w:t>
            </w:r>
          </w:p>
        </w:tc>
      </w:tr>
      <w:tr w14:paraId="272D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AB10E5">
            <w:pPr>
              <w:jc w:val="center"/>
            </w:pPr>
            <w:r>
              <w:rPr>
                <w:rFonts w:ascii="Calibri" w:hAnsi="Calibri" w:eastAsia="Calibri" w:cs="Calibri"/>
                <w:sz w:val="19"/>
                <w:szCs w:val="19"/>
              </w:rPr>
              <w:t>4</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027CF5">
            <w:pPr>
              <w:jc w:val="left"/>
            </w:pPr>
            <w:r>
              <w:rPr>
                <w:rFonts w:ascii="Calibri" w:hAnsi="Calibri" w:eastAsia="Calibri" w:cs="Calibri"/>
                <w:sz w:val="19"/>
                <w:szCs w:val="19"/>
              </w:rPr>
              <w:t>Fix data types</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F0B055">
            <w:pPr>
              <w:jc w:val="left"/>
            </w:pPr>
            <w:r>
              <w:rPr>
                <w:rFonts w:ascii="Calibri" w:hAnsi="Calibri" w:eastAsia="Calibri" w:cs="Calibri"/>
                <w:sz w:val="19"/>
                <w:szCs w:val="19"/>
              </w:rPr>
              <w:t>All six columns were initially of type object. Date was converted to datetime64[ns] and Close, High, Low, Open and Volume were converted to float64.</w:t>
            </w:r>
          </w:p>
        </w:tc>
      </w:tr>
      <w:tr w14:paraId="494F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FA0232">
            <w:pPr>
              <w:jc w:val="center"/>
            </w:pPr>
            <w:r>
              <w:rPr>
                <w:rFonts w:ascii="Calibri" w:hAnsi="Calibri" w:eastAsia="Calibri" w:cs="Calibri"/>
                <w:sz w:val="19"/>
                <w:szCs w:val="19"/>
              </w:rPr>
              <w:t>5</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EAA995">
            <w:pPr>
              <w:jc w:val="left"/>
            </w:pPr>
            <w:r>
              <w:rPr>
                <w:rFonts w:ascii="Calibri" w:hAnsi="Calibri" w:eastAsia="Calibri" w:cs="Calibri"/>
                <w:sz w:val="19"/>
                <w:szCs w:val="19"/>
              </w:rPr>
              <w:t>Missing values</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6F8AECB">
            <w:pPr>
              <w:jc w:val="left"/>
            </w:pPr>
            <w:r>
              <w:rPr>
                <w:rFonts w:ascii="Calibri" w:hAnsi="Calibri" w:eastAsia="Calibri" w:cs="Calibri"/>
                <w:sz w:val="19"/>
                <w:szCs w:val="19"/>
              </w:rPr>
              <w:t>Null-value check returned 0 for every column; no imputation was required.</w:t>
            </w:r>
          </w:p>
        </w:tc>
      </w:tr>
      <w:tr w14:paraId="1131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09FB7F">
            <w:pPr>
              <w:jc w:val="center"/>
            </w:pPr>
            <w:r>
              <w:rPr>
                <w:rFonts w:ascii="Calibri" w:hAnsi="Calibri" w:eastAsia="Calibri" w:cs="Calibri"/>
                <w:sz w:val="19"/>
                <w:szCs w:val="19"/>
              </w:rPr>
              <w:t>6</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D3419A2">
            <w:pPr>
              <w:jc w:val="left"/>
            </w:pPr>
            <w:r>
              <w:rPr>
                <w:rFonts w:ascii="Calibri" w:hAnsi="Calibri" w:eastAsia="Calibri" w:cs="Calibri"/>
                <w:sz w:val="19"/>
                <w:szCs w:val="19"/>
              </w:rPr>
              <w:t>Duplicates</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CFA453F">
            <w:pPr>
              <w:jc w:val="left"/>
            </w:pPr>
            <w:r>
              <w:rPr>
                <w:rFonts w:ascii="Calibri" w:hAnsi="Calibri" w:eastAsia="Calibri" w:cs="Calibri"/>
                <w:sz w:val="19"/>
                <w:szCs w:val="19"/>
              </w:rPr>
              <w:t>The duplicate-row check returned 0; no rows were removed.</w:t>
            </w:r>
          </w:p>
        </w:tc>
      </w:tr>
      <w:tr w14:paraId="0F32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C99955">
            <w:pPr>
              <w:jc w:val="center"/>
            </w:pPr>
            <w:r>
              <w:rPr>
                <w:rFonts w:ascii="Calibri" w:hAnsi="Calibri" w:eastAsia="Calibri" w:cs="Calibri"/>
                <w:sz w:val="19"/>
                <w:szCs w:val="19"/>
              </w:rPr>
              <w:t>7</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CA59E6C">
            <w:pPr>
              <w:jc w:val="left"/>
            </w:pPr>
            <w:r>
              <w:rPr>
                <w:rFonts w:ascii="Calibri" w:hAnsi="Calibri" w:eastAsia="Calibri" w:cs="Calibri"/>
                <w:sz w:val="19"/>
                <w:szCs w:val="19"/>
              </w:rPr>
              <w:t>Invalid prices</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FB961EC">
            <w:pPr>
              <w:jc w:val="left"/>
            </w:pPr>
            <w:r>
              <w:rPr>
                <w:rFonts w:ascii="Calibri" w:hAnsi="Calibri" w:eastAsia="Calibri" w:cs="Calibri"/>
                <w:sz w:val="19"/>
                <w:szCs w:val="19"/>
              </w:rPr>
              <w:t>Minimum values were High 5.22, Low 4.49, Open 4.98 and Close 4.89 — all positive, so no zero or negative prices exist.</w:t>
            </w:r>
          </w:p>
        </w:tc>
      </w:tr>
      <w:tr w14:paraId="2AB8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DBDA56D">
            <w:pPr>
              <w:jc w:val="center"/>
            </w:pPr>
            <w:r>
              <w:rPr>
                <w:rFonts w:ascii="Calibri" w:hAnsi="Calibri" w:eastAsia="Calibri" w:cs="Calibri"/>
                <w:sz w:val="19"/>
                <w:szCs w:val="19"/>
              </w:rPr>
              <w:t>8</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525617B">
            <w:pPr>
              <w:jc w:val="left"/>
            </w:pPr>
            <w:r>
              <w:rPr>
                <w:rFonts w:ascii="Calibri" w:hAnsi="Calibri" w:eastAsia="Calibri" w:cs="Calibri"/>
                <w:sz w:val="19"/>
                <w:szCs w:val="19"/>
              </w:rPr>
              <w:t>Chronological order</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E9B9597">
            <w:pPr>
              <w:jc w:val="left"/>
            </w:pPr>
            <w:r>
              <w:rPr>
                <w:rFonts w:ascii="Calibri" w:hAnsi="Calibri" w:eastAsia="Calibri" w:cs="Calibri"/>
                <w:sz w:val="19"/>
                <w:szCs w:val="19"/>
              </w:rPr>
              <w:t>The Date column is monotonically increasing (True), so the data is correctly arranged from oldest to newest for trend analysis.</w:t>
            </w:r>
          </w:p>
        </w:tc>
      </w:tr>
      <w:tr w14:paraId="057B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219D9E0">
            <w:pPr>
              <w:jc w:val="center"/>
            </w:pPr>
            <w:r>
              <w:rPr>
                <w:rFonts w:ascii="Calibri" w:hAnsi="Calibri" w:eastAsia="Calibri" w:cs="Calibri"/>
                <w:sz w:val="19"/>
                <w:szCs w:val="19"/>
              </w:rPr>
              <w:t>9</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1CF662">
            <w:pPr>
              <w:jc w:val="left"/>
            </w:pPr>
            <w:r>
              <w:rPr>
                <w:rFonts w:ascii="Calibri" w:hAnsi="Calibri" w:eastAsia="Calibri" w:cs="Calibri"/>
                <w:sz w:val="19"/>
                <w:szCs w:val="19"/>
              </w:rPr>
              <w:t>Price consistency</w:t>
            </w:r>
          </w:p>
        </w:tc>
        <w:tc>
          <w:tcPr>
            <w:tcW w:w="65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B0B700">
            <w:pPr>
              <w:jc w:val="left"/>
            </w:pPr>
            <w:r>
              <w:rPr>
                <w:rFonts w:ascii="Calibri" w:hAnsi="Calibri" w:eastAsia="Calibri" w:cs="Calibri"/>
                <w:sz w:val="19"/>
                <w:szCs w:val="19"/>
              </w:rPr>
              <w:t>No record has an Open or a Close above the High or below the Low (0 violations in both checks).</w:t>
            </w:r>
          </w:p>
        </w:tc>
      </w:tr>
    </w:tbl>
    <w:p w14:paraId="607CA1EA">
      <w:pPr>
        <w:spacing w:after="80"/>
      </w:pPr>
    </w:p>
    <w:p w14:paraId="3A0D4618">
      <w:pPr>
        <w:spacing w:after="120" w:line="264" w:lineRule="auto"/>
        <w:jc w:val="both"/>
      </w:pPr>
      <w:r>
        <w:rPr>
          <w:rFonts w:ascii="Calibri" w:hAnsi="Calibri" w:eastAsia="Calibri" w:cs="Calibri"/>
          <w:sz w:val="21"/>
          <w:szCs w:val="21"/>
        </w:rPr>
        <w:t>After these steps the dataset was complete, correctly typed, sorted and free of logical errors, so it was suitable for indicator calculation. The complete code and printed outputs for every step are given in Appendix A. Outlier removal was deliberately not applied: extreme daily moves in a stock are genuine market events and are part of the behaviour being studied.</w:t>
      </w:r>
    </w:p>
    <w:p w14:paraId="150BF43E">
      <w:pPr>
        <w:pStyle w:val="2"/>
        <w:keepNext/>
        <w:shd w:val="clear" w:fill="DDEBF7"/>
        <w:spacing w:before="320" w:after="160"/>
      </w:pPr>
      <w:r>
        <w:rPr>
          <w:rFonts w:ascii="Calibri" w:hAnsi="Calibri" w:eastAsia="Calibri" w:cs="Calibri"/>
          <w:b/>
          <w:bCs/>
          <w:color w:val="1F4E79"/>
          <w:sz w:val="26"/>
          <w:szCs w:val="26"/>
        </w:rPr>
        <w:t>4. Exploratory Data Analysis (EDA)</w:t>
      </w:r>
    </w:p>
    <w:p w14:paraId="7EB24B63">
      <w:pPr>
        <w:keepNext/>
        <w:spacing w:before="160" w:after="80"/>
      </w:pPr>
      <w:r>
        <w:rPr>
          <w:rFonts w:ascii="Calibri" w:hAnsi="Calibri" w:eastAsia="Calibri" w:cs="Calibri"/>
          <w:b/>
          <w:bCs/>
          <w:color w:val="1F4E79"/>
          <w:sz w:val="22"/>
          <w:szCs w:val="22"/>
        </w:rPr>
        <w:t>4.1 Summary statistics</w:t>
      </w:r>
    </w:p>
    <w:p w14:paraId="4BCEDD16">
      <w:pPr>
        <w:spacing w:after="120" w:line="264" w:lineRule="auto"/>
        <w:jc w:val="both"/>
      </w:pPr>
      <w:r>
        <w:rPr>
          <w:rFonts w:ascii="Calibri" w:hAnsi="Calibri" w:eastAsia="Calibri" w:cs="Calibri"/>
          <w:sz w:val="21"/>
          <w:szCs w:val="21"/>
        </w:rPr>
        <w:t>Descriptive statistics were generated for Open, High, Low, Close and Volume. Prices span a very wide range because NVDA rose from under 5 USD to over 235 USD within the study period.</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640"/>
        <w:gridCol w:w="1640"/>
        <w:gridCol w:w="1640"/>
        <w:gridCol w:w="1640"/>
        <w:gridCol w:w="1646"/>
      </w:tblGrid>
      <w:tr w14:paraId="67B3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F1CD064">
            <w:pPr>
              <w:jc w:val="center"/>
            </w:pPr>
            <w:r>
              <w:rPr>
                <w:rFonts w:ascii="Calibri" w:hAnsi="Calibri" w:eastAsia="Calibri" w:cs="Calibri"/>
                <w:b/>
                <w:bCs/>
                <w:color w:val="FFFFFF"/>
                <w:sz w:val="19"/>
                <w:szCs w:val="19"/>
              </w:rPr>
              <w:t>Statistic</w:t>
            </w:r>
          </w:p>
        </w:tc>
        <w:tc>
          <w:tcPr>
            <w:tcW w:w="164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3962D46">
            <w:pPr>
              <w:jc w:val="center"/>
            </w:pPr>
            <w:r>
              <w:rPr>
                <w:rFonts w:ascii="Calibri" w:hAnsi="Calibri" w:eastAsia="Calibri" w:cs="Calibri"/>
                <w:b/>
                <w:bCs/>
                <w:color w:val="FFFFFF"/>
                <w:sz w:val="19"/>
                <w:szCs w:val="19"/>
              </w:rPr>
              <w:t>Open</w:t>
            </w:r>
          </w:p>
        </w:tc>
        <w:tc>
          <w:tcPr>
            <w:tcW w:w="164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228C50EB">
            <w:pPr>
              <w:jc w:val="center"/>
            </w:pPr>
            <w:r>
              <w:rPr>
                <w:rFonts w:ascii="Calibri" w:hAnsi="Calibri" w:eastAsia="Calibri" w:cs="Calibri"/>
                <w:b/>
                <w:bCs/>
                <w:color w:val="FFFFFF"/>
                <w:sz w:val="19"/>
                <w:szCs w:val="19"/>
              </w:rPr>
              <w:t>High</w:t>
            </w:r>
          </w:p>
        </w:tc>
        <w:tc>
          <w:tcPr>
            <w:tcW w:w="164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F9F8E5F">
            <w:pPr>
              <w:jc w:val="center"/>
            </w:pPr>
            <w:r>
              <w:rPr>
                <w:rFonts w:ascii="Calibri" w:hAnsi="Calibri" w:eastAsia="Calibri" w:cs="Calibri"/>
                <w:b/>
                <w:bCs/>
                <w:color w:val="FFFFFF"/>
                <w:sz w:val="19"/>
                <w:szCs w:val="19"/>
              </w:rPr>
              <w:t>Low</w:t>
            </w:r>
          </w:p>
        </w:tc>
        <w:tc>
          <w:tcPr>
            <w:tcW w:w="164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23FF1E9">
            <w:pPr>
              <w:jc w:val="center"/>
            </w:pPr>
            <w:r>
              <w:rPr>
                <w:rFonts w:ascii="Calibri" w:hAnsi="Calibri" w:eastAsia="Calibri" w:cs="Calibri"/>
                <w:b/>
                <w:bCs/>
                <w:color w:val="FFFFFF"/>
                <w:sz w:val="19"/>
                <w:szCs w:val="19"/>
              </w:rPr>
              <w:t>Close</w:t>
            </w:r>
          </w:p>
        </w:tc>
        <w:tc>
          <w:tcPr>
            <w:tcW w:w="164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2E3A76E0">
            <w:pPr>
              <w:jc w:val="center"/>
            </w:pPr>
            <w:r>
              <w:rPr>
                <w:rFonts w:ascii="Calibri" w:hAnsi="Calibri" w:eastAsia="Calibri" w:cs="Calibri"/>
                <w:b/>
                <w:bCs/>
                <w:color w:val="FFFFFF"/>
                <w:sz w:val="19"/>
                <w:szCs w:val="19"/>
              </w:rPr>
              <w:t>Volume (millions)</w:t>
            </w:r>
          </w:p>
        </w:tc>
      </w:tr>
      <w:tr w14:paraId="3F6B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A19ACF">
            <w:pPr>
              <w:jc w:val="left"/>
            </w:pPr>
            <w:r>
              <w:rPr>
                <w:rFonts w:ascii="Calibri" w:hAnsi="Calibri" w:eastAsia="Calibri" w:cs="Calibri"/>
                <w:b/>
                <w:bCs/>
                <w:sz w:val="19"/>
                <w:szCs w:val="19"/>
              </w:rPr>
              <w:t>Count</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7CF4C5">
            <w:pPr>
              <w:jc w:val="center"/>
            </w:pPr>
            <w:r>
              <w:rPr>
                <w:rFonts w:ascii="Calibri" w:hAnsi="Calibri" w:eastAsia="Calibri" w:cs="Calibri"/>
                <w:b w:val="0"/>
                <w:bCs w:val="0"/>
                <w:sz w:val="19"/>
                <w:szCs w:val="19"/>
              </w:rPr>
              <w:t>1652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4EA940A">
            <w:pPr>
              <w:jc w:val="center"/>
            </w:pPr>
            <w:r>
              <w:rPr>
                <w:rFonts w:ascii="Calibri" w:hAnsi="Calibri" w:eastAsia="Calibri" w:cs="Calibri"/>
                <w:b w:val="0"/>
                <w:bCs w:val="0"/>
                <w:sz w:val="19"/>
                <w:szCs w:val="19"/>
              </w:rPr>
              <w:t>1652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971A17F">
            <w:pPr>
              <w:jc w:val="center"/>
            </w:pPr>
            <w:r>
              <w:rPr>
                <w:rFonts w:ascii="Calibri" w:hAnsi="Calibri" w:eastAsia="Calibri" w:cs="Calibri"/>
                <w:b w:val="0"/>
                <w:bCs w:val="0"/>
                <w:sz w:val="19"/>
                <w:szCs w:val="19"/>
              </w:rPr>
              <w:t>1652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A5BF9D">
            <w:pPr>
              <w:jc w:val="center"/>
            </w:pPr>
            <w:r>
              <w:rPr>
                <w:rFonts w:ascii="Calibri" w:hAnsi="Calibri" w:eastAsia="Calibri" w:cs="Calibri"/>
                <w:b w:val="0"/>
                <w:bCs w:val="0"/>
                <w:sz w:val="19"/>
                <w:szCs w:val="19"/>
              </w:rPr>
              <w:t>1652</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9F888CA">
            <w:pPr>
              <w:jc w:val="center"/>
            </w:pPr>
            <w:r>
              <w:rPr>
                <w:rFonts w:ascii="Calibri" w:hAnsi="Calibri" w:eastAsia="Calibri" w:cs="Calibri"/>
                <w:b w:val="0"/>
                <w:bCs w:val="0"/>
                <w:sz w:val="19"/>
                <w:szCs w:val="19"/>
              </w:rPr>
              <w:t>1652</w:t>
            </w:r>
          </w:p>
        </w:tc>
      </w:tr>
      <w:tr w14:paraId="6215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0188501">
            <w:pPr>
              <w:jc w:val="left"/>
            </w:pPr>
            <w:r>
              <w:rPr>
                <w:rFonts w:ascii="Calibri" w:hAnsi="Calibri" w:eastAsia="Calibri" w:cs="Calibri"/>
                <w:b/>
                <w:bCs/>
                <w:sz w:val="19"/>
                <w:szCs w:val="19"/>
              </w:rPr>
              <w:t>Mean</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AE2AA06">
            <w:pPr>
              <w:jc w:val="center"/>
            </w:pPr>
            <w:r>
              <w:rPr>
                <w:rFonts w:ascii="Calibri" w:hAnsi="Calibri" w:eastAsia="Calibri" w:cs="Calibri"/>
                <w:b w:val="0"/>
                <w:bCs w:val="0"/>
                <w:sz w:val="19"/>
                <w:szCs w:val="19"/>
              </w:rPr>
              <w:t>69.56</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EA55CC">
            <w:pPr>
              <w:jc w:val="center"/>
            </w:pPr>
            <w:r>
              <w:rPr>
                <w:rFonts w:ascii="Calibri" w:hAnsi="Calibri" w:eastAsia="Calibri" w:cs="Calibri"/>
                <w:b w:val="0"/>
                <w:bCs w:val="0"/>
                <w:sz w:val="19"/>
                <w:szCs w:val="19"/>
              </w:rPr>
              <w:t>70.70</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248AC38">
            <w:pPr>
              <w:jc w:val="center"/>
            </w:pPr>
            <w:r>
              <w:rPr>
                <w:rFonts w:ascii="Calibri" w:hAnsi="Calibri" w:eastAsia="Calibri" w:cs="Calibri"/>
                <w:b w:val="0"/>
                <w:bCs w:val="0"/>
                <w:sz w:val="19"/>
                <w:szCs w:val="19"/>
              </w:rPr>
              <w:t>68.30</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126D50B">
            <w:pPr>
              <w:jc w:val="center"/>
            </w:pPr>
            <w:r>
              <w:rPr>
                <w:rFonts w:ascii="Calibri" w:hAnsi="Calibri" w:eastAsia="Calibri" w:cs="Calibri"/>
                <w:b w:val="0"/>
                <w:bCs w:val="0"/>
                <w:sz w:val="19"/>
                <w:szCs w:val="19"/>
              </w:rPr>
              <w:t>69.54</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E599CB">
            <w:pPr>
              <w:jc w:val="center"/>
            </w:pPr>
            <w:r>
              <w:rPr>
                <w:rFonts w:ascii="Calibri" w:hAnsi="Calibri" w:eastAsia="Calibri" w:cs="Calibri"/>
                <w:b w:val="0"/>
                <w:bCs w:val="0"/>
                <w:sz w:val="19"/>
                <w:szCs w:val="19"/>
              </w:rPr>
              <w:t>387.91</w:t>
            </w:r>
          </w:p>
        </w:tc>
      </w:tr>
      <w:tr w14:paraId="5D93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B06F02">
            <w:pPr>
              <w:jc w:val="left"/>
            </w:pPr>
            <w:r>
              <w:rPr>
                <w:rFonts w:ascii="Calibri" w:hAnsi="Calibri" w:eastAsia="Calibri" w:cs="Calibri"/>
                <w:b/>
                <w:bCs/>
                <w:sz w:val="19"/>
                <w:szCs w:val="19"/>
              </w:rPr>
              <w:t>Std. Deviation</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F4E7D39">
            <w:pPr>
              <w:jc w:val="center"/>
            </w:pPr>
            <w:r>
              <w:rPr>
                <w:rFonts w:ascii="Calibri" w:hAnsi="Calibri" w:eastAsia="Calibri" w:cs="Calibri"/>
                <w:b w:val="0"/>
                <w:bCs w:val="0"/>
                <w:sz w:val="19"/>
                <w:szCs w:val="19"/>
              </w:rPr>
              <w:t>66.85</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E84FC43">
            <w:pPr>
              <w:jc w:val="center"/>
            </w:pPr>
            <w:r>
              <w:rPr>
                <w:rFonts w:ascii="Calibri" w:hAnsi="Calibri" w:eastAsia="Calibri" w:cs="Calibri"/>
                <w:b w:val="0"/>
                <w:bCs w:val="0"/>
                <w:sz w:val="19"/>
                <w:szCs w:val="19"/>
              </w:rPr>
              <w:t>67.79</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60F409">
            <w:pPr>
              <w:jc w:val="center"/>
            </w:pPr>
            <w:r>
              <w:rPr>
                <w:rFonts w:ascii="Calibri" w:hAnsi="Calibri" w:eastAsia="Calibri" w:cs="Calibri"/>
                <w:b w:val="0"/>
                <w:bCs w:val="0"/>
                <w:sz w:val="19"/>
                <w:szCs w:val="19"/>
              </w:rPr>
              <w:t>65.74</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7823D6">
            <w:pPr>
              <w:jc w:val="center"/>
            </w:pPr>
            <w:r>
              <w:rPr>
                <w:rFonts w:ascii="Calibri" w:hAnsi="Calibri" w:eastAsia="Calibri" w:cs="Calibri"/>
                <w:b w:val="0"/>
                <w:bCs w:val="0"/>
                <w:sz w:val="19"/>
                <w:szCs w:val="19"/>
              </w:rPr>
              <w:t>66.78</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D06C3B0">
            <w:pPr>
              <w:jc w:val="center"/>
            </w:pPr>
            <w:r>
              <w:rPr>
                <w:rFonts w:ascii="Calibri" w:hAnsi="Calibri" w:eastAsia="Calibri" w:cs="Calibri"/>
                <w:b w:val="0"/>
                <w:bCs w:val="0"/>
                <w:sz w:val="19"/>
                <w:szCs w:val="19"/>
              </w:rPr>
              <w:t>198.87</w:t>
            </w:r>
          </w:p>
        </w:tc>
      </w:tr>
      <w:tr w14:paraId="38FE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BFAE04">
            <w:pPr>
              <w:jc w:val="left"/>
            </w:pPr>
            <w:r>
              <w:rPr>
                <w:rFonts w:ascii="Calibri" w:hAnsi="Calibri" w:eastAsia="Calibri" w:cs="Calibri"/>
                <w:b/>
                <w:bCs/>
                <w:sz w:val="19"/>
                <w:szCs w:val="19"/>
              </w:rPr>
              <w:t>Minimum</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992E860">
            <w:pPr>
              <w:jc w:val="center"/>
            </w:pPr>
            <w:r>
              <w:rPr>
                <w:rFonts w:ascii="Calibri" w:hAnsi="Calibri" w:eastAsia="Calibri" w:cs="Calibri"/>
                <w:b w:val="0"/>
                <w:bCs w:val="0"/>
                <w:sz w:val="19"/>
                <w:szCs w:val="19"/>
              </w:rPr>
              <w:t>4.98</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973737">
            <w:pPr>
              <w:jc w:val="center"/>
            </w:pPr>
            <w:r>
              <w:rPr>
                <w:rFonts w:ascii="Calibri" w:hAnsi="Calibri" w:eastAsia="Calibri" w:cs="Calibri"/>
                <w:b w:val="0"/>
                <w:bCs w:val="0"/>
                <w:sz w:val="19"/>
                <w:szCs w:val="19"/>
              </w:rPr>
              <w:t>5.22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7079759">
            <w:pPr>
              <w:jc w:val="center"/>
            </w:pPr>
            <w:r>
              <w:rPr>
                <w:rFonts w:ascii="Calibri" w:hAnsi="Calibri" w:eastAsia="Calibri" w:cs="Calibri"/>
                <w:b w:val="0"/>
                <w:bCs w:val="0"/>
                <w:sz w:val="19"/>
                <w:szCs w:val="19"/>
              </w:rPr>
              <w:t>4.49</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FB4EA7">
            <w:pPr>
              <w:jc w:val="center"/>
            </w:pPr>
            <w:r>
              <w:rPr>
                <w:rFonts w:ascii="Calibri" w:hAnsi="Calibri" w:eastAsia="Calibri" w:cs="Calibri"/>
                <w:b w:val="0"/>
                <w:bCs w:val="0"/>
                <w:sz w:val="19"/>
                <w:szCs w:val="19"/>
              </w:rPr>
              <w:t>4.89</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A81B220">
            <w:pPr>
              <w:jc w:val="center"/>
            </w:pPr>
            <w:r>
              <w:rPr>
                <w:rFonts w:ascii="Calibri" w:hAnsi="Calibri" w:eastAsia="Calibri" w:cs="Calibri"/>
                <w:b w:val="0"/>
                <w:bCs w:val="0"/>
                <w:sz w:val="19"/>
                <w:szCs w:val="19"/>
              </w:rPr>
              <w:t>65.53</w:t>
            </w:r>
          </w:p>
        </w:tc>
      </w:tr>
      <w:tr w14:paraId="0CB4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C8270F1">
            <w:pPr>
              <w:jc w:val="left"/>
            </w:pPr>
            <w:r>
              <w:rPr>
                <w:rFonts w:ascii="Calibri" w:hAnsi="Calibri" w:eastAsia="Calibri" w:cs="Calibri"/>
                <w:b/>
                <w:bCs/>
                <w:sz w:val="19"/>
                <w:szCs w:val="19"/>
              </w:rPr>
              <w:t>25%</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16CCFE">
            <w:pPr>
              <w:jc w:val="center"/>
            </w:pPr>
            <w:r>
              <w:rPr>
                <w:rFonts w:ascii="Calibri" w:hAnsi="Calibri" w:eastAsia="Calibri" w:cs="Calibri"/>
                <w:b w:val="0"/>
                <w:bCs w:val="0"/>
                <w:sz w:val="19"/>
                <w:szCs w:val="19"/>
              </w:rPr>
              <w:t>15.32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A25EF0">
            <w:pPr>
              <w:jc w:val="center"/>
            </w:pPr>
            <w:r>
              <w:rPr>
                <w:rFonts w:ascii="Calibri" w:hAnsi="Calibri" w:eastAsia="Calibri" w:cs="Calibri"/>
                <w:b w:val="0"/>
                <w:bCs w:val="0"/>
                <w:sz w:val="19"/>
                <w:szCs w:val="19"/>
              </w:rPr>
              <w:t>15.63</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EE6BFE8">
            <w:pPr>
              <w:jc w:val="center"/>
            </w:pPr>
            <w:r>
              <w:rPr>
                <w:rFonts w:ascii="Calibri" w:hAnsi="Calibri" w:eastAsia="Calibri" w:cs="Calibri"/>
                <w:b w:val="0"/>
                <w:bCs w:val="0"/>
                <w:sz w:val="19"/>
                <w:szCs w:val="19"/>
              </w:rPr>
              <w:t>15.07</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82DC964">
            <w:pPr>
              <w:jc w:val="center"/>
            </w:pPr>
            <w:r>
              <w:rPr>
                <w:rFonts w:ascii="Calibri" w:hAnsi="Calibri" w:eastAsia="Calibri" w:cs="Calibri"/>
                <w:b w:val="0"/>
                <w:bCs w:val="0"/>
                <w:sz w:val="19"/>
                <w:szCs w:val="19"/>
              </w:rPr>
              <w:t>15.32</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E7FEFB4">
            <w:pPr>
              <w:jc w:val="center"/>
            </w:pPr>
            <w:r>
              <w:rPr>
                <w:rFonts w:ascii="Calibri" w:hAnsi="Calibri" w:eastAsia="Calibri" w:cs="Calibri"/>
                <w:b w:val="0"/>
                <w:bCs w:val="0"/>
                <w:sz w:val="19"/>
                <w:szCs w:val="19"/>
              </w:rPr>
              <w:t>224.17</w:t>
            </w:r>
          </w:p>
        </w:tc>
      </w:tr>
      <w:tr w14:paraId="57E4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6B15C78">
            <w:pPr>
              <w:jc w:val="left"/>
            </w:pPr>
            <w:r>
              <w:rPr>
                <w:rFonts w:ascii="Calibri" w:hAnsi="Calibri" w:eastAsia="Calibri" w:cs="Calibri"/>
                <w:b/>
                <w:bCs/>
                <w:sz w:val="19"/>
                <w:szCs w:val="19"/>
              </w:rPr>
              <w:t>50% (Median)</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E25DA0">
            <w:pPr>
              <w:jc w:val="center"/>
            </w:pPr>
            <w:r>
              <w:rPr>
                <w:rFonts w:ascii="Calibri" w:hAnsi="Calibri" w:eastAsia="Calibri" w:cs="Calibri"/>
                <w:b w:val="0"/>
                <w:bCs w:val="0"/>
                <w:sz w:val="19"/>
                <w:szCs w:val="19"/>
              </w:rPr>
              <w:t>30.12</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186803">
            <w:pPr>
              <w:jc w:val="center"/>
            </w:pPr>
            <w:r>
              <w:rPr>
                <w:rFonts w:ascii="Calibri" w:hAnsi="Calibri" w:eastAsia="Calibri" w:cs="Calibri"/>
                <w:b w:val="0"/>
                <w:bCs w:val="0"/>
                <w:sz w:val="19"/>
                <w:szCs w:val="19"/>
              </w:rPr>
              <w:t>30.56</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60116E">
            <w:pPr>
              <w:jc w:val="center"/>
            </w:pPr>
            <w:r>
              <w:rPr>
                <w:rFonts w:ascii="Calibri" w:hAnsi="Calibri" w:eastAsia="Calibri" w:cs="Calibri"/>
                <w:b w:val="0"/>
                <w:bCs w:val="0"/>
                <w:sz w:val="19"/>
                <w:szCs w:val="19"/>
              </w:rPr>
              <w:t>29.41</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3C3DB0C">
            <w:pPr>
              <w:jc w:val="center"/>
            </w:pPr>
            <w:r>
              <w:rPr>
                <w:rFonts w:ascii="Calibri" w:hAnsi="Calibri" w:eastAsia="Calibri" w:cs="Calibri"/>
                <w:b w:val="0"/>
                <w:bCs w:val="0"/>
                <w:sz w:val="19"/>
                <w:szCs w:val="19"/>
              </w:rPr>
              <w:t>30.06</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782115">
            <w:pPr>
              <w:jc w:val="center"/>
            </w:pPr>
            <w:r>
              <w:rPr>
                <w:rFonts w:ascii="Calibri" w:hAnsi="Calibri" w:eastAsia="Calibri" w:cs="Calibri"/>
                <w:b w:val="0"/>
                <w:bCs w:val="0"/>
                <w:sz w:val="19"/>
                <w:szCs w:val="19"/>
              </w:rPr>
              <w:t>365.27</w:t>
            </w:r>
          </w:p>
        </w:tc>
      </w:tr>
      <w:tr w14:paraId="1123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50AAF8">
            <w:pPr>
              <w:jc w:val="left"/>
            </w:pPr>
            <w:r>
              <w:rPr>
                <w:rFonts w:ascii="Calibri" w:hAnsi="Calibri" w:eastAsia="Calibri" w:cs="Calibri"/>
                <w:b/>
                <w:bCs/>
                <w:sz w:val="19"/>
                <w:szCs w:val="19"/>
              </w:rPr>
              <w:t>75%</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8FFE4A">
            <w:pPr>
              <w:jc w:val="center"/>
            </w:pPr>
            <w:r>
              <w:rPr>
                <w:rFonts w:ascii="Calibri" w:hAnsi="Calibri" w:eastAsia="Calibri" w:cs="Calibri"/>
                <w:b w:val="0"/>
                <w:bCs w:val="0"/>
                <w:sz w:val="19"/>
                <w:szCs w:val="19"/>
              </w:rPr>
              <w:t>126.38</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ACA76B">
            <w:pPr>
              <w:jc w:val="center"/>
            </w:pPr>
            <w:r>
              <w:rPr>
                <w:rFonts w:ascii="Calibri" w:hAnsi="Calibri" w:eastAsia="Calibri" w:cs="Calibri"/>
                <w:b w:val="0"/>
                <w:bCs w:val="0"/>
                <w:sz w:val="19"/>
                <w:szCs w:val="19"/>
              </w:rPr>
              <w:t>128.87</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41D23B7">
            <w:pPr>
              <w:jc w:val="center"/>
            </w:pPr>
            <w:r>
              <w:rPr>
                <w:rFonts w:ascii="Calibri" w:hAnsi="Calibri" w:eastAsia="Calibri" w:cs="Calibri"/>
                <w:b w:val="0"/>
                <w:bCs w:val="0"/>
                <w:sz w:val="19"/>
                <w:szCs w:val="19"/>
              </w:rPr>
              <w:t>123.33</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3B8A711">
            <w:pPr>
              <w:jc w:val="center"/>
            </w:pPr>
            <w:r>
              <w:rPr>
                <w:rFonts w:ascii="Calibri" w:hAnsi="Calibri" w:eastAsia="Calibri" w:cs="Calibri"/>
                <w:b w:val="0"/>
                <w:bCs w:val="0"/>
                <w:sz w:val="19"/>
                <w:szCs w:val="19"/>
              </w:rPr>
              <w:t>126.28</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F06CDC9">
            <w:pPr>
              <w:jc w:val="center"/>
            </w:pPr>
            <w:r>
              <w:rPr>
                <w:rFonts w:ascii="Calibri" w:hAnsi="Calibri" w:eastAsia="Calibri" w:cs="Calibri"/>
                <w:b w:val="0"/>
                <w:bCs w:val="0"/>
                <w:sz w:val="19"/>
                <w:szCs w:val="19"/>
              </w:rPr>
              <w:t>504.40</w:t>
            </w:r>
          </w:p>
        </w:tc>
      </w:tr>
      <w:tr w14:paraId="2A38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C4BA372">
            <w:pPr>
              <w:jc w:val="left"/>
            </w:pPr>
            <w:r>
              <w:rPr>
                <w:rFonts w:ascii="Calibri" w:hAnsi="Calibri" w:eastAsia="Calibri" w:cs="Calibri"/>
                <w:b/>
                <w:bCs/>
                <w:sz w:val="19"/>
                <w:szCs w:val="19"/>
              </w:rPr>
              <w:t>Maximum</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29C9AD">
            <w:pPr>
              <w:jc w:val="center"/>
            </w:pPr>
            <w:r>
              <w:rPr>
                <w:rFonts w:ascii="Calibri" w:hAnsi="Calibri" w:eastAsia="Calibri" w:cs="Calibri"/>
                <w:b w:val="0"/>
                <w:bCs w:val="0"/>
                <w:sz w:val="19"/>
                <w:szCs w:val="19"/>
              </w:rPr>
              <w:t>229.60</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D6B1BF8">
            <w:pPr>
              <w:jc w:val="center"/>
            </w:pPr>
            <w:r>
              <w:rPr>
                <w:rFonts w:ascii="Calibri" w:hAnsi="Calibri" w:eastAsia="Calibri" w:cs="Calibri"/>
                <w:b w:val="0"/>
                <w:bCs w:val="0"/>
                <w:sz w:val="19"/>
                <w:szCs w:val="19"/>
              </w:rPr>
              <w:t>236.26</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B00E919">
            <w:pPr>
              <w:jc w:val="center"/>
            </w:pPr>
            <w:r>
              <w:rPr>
                <w:rFonts w:ascii="Calibri" w:hAnsi="Calibri" w:eastAsia="Calibri" w:cs="Calibri"/>
                <w:b w:val="0"/>
                <w:bCs w:val="0"/>
                <w:sz w:val="19"/>
                <w:szCs w:val="19"/>
              </w:rPr>
              <w:t>229.03</w:t>
            </w:r>
          </w:p>
        </w:tc>
        <w:tc>
          <w:tcPr>
            <w:tcW w:w="164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672AE4">
            <w:pPr>
              <w:jc w:val="center"/>
            </w:pPr>
            <w:r>
              <w:rPr>
                <w:rFonts w:ascii="Calibri" w:hAnsi="Calibri" w:eastAsia="Calibri" w:cs="Calibri"/>
                <w:b w:val="0"/>
                <w:bCs w:val="0"/>
                <w:sz w:val="19"/>
                <w:szCs w:val="19"/>
              </w:rPr>
              <w:t>235.47</w:t>
            </w:r>
          </w:p>
        </w:tc>
        <w:tc>
          <w:tcPr>
            <w:tcW w:w="16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A4E71B">
            <w:pPr>
              <w:jc w:val="center"/>
            </w:pPr>
            <w:r>
              <w:rPr>
                <w:rFonts w:ascii="Calibri" w:hAnsi="Calibri" w:eastAsia="Calibri" w:cs="Calibri"/>
                <w:b w:val="0"/>
                <w:bCs w:val="0"/>
                <w:sz w:val="19"/>
                <w:szCs w:val="19"/>
              </w:rPr>
              <w:t>1,543.91</w:t>
            </w:r>
          </w:p>
        </w:tc>
      </w:tr>
    </w:tbl>
    <w:p w14:paraId="0E029928">
      <w:pPr>
        <w:spacing w:after="80"/>
      </w:pPr>
    </w:p>
    <w:p w14:paraId="6B384A81">
      <w:pPr>
        <w:keepNext/>
        <w:spacing w:before="160" w:after="80"/>
      </w:pPr>
      <w:r>
        <w:rPr>
          <w:rFonts w:ascii="Calibri" w:hAnsi="Calibri" w:eastAsia="Calibri" w:cs="Calibri"/>
          <w:b/>
          <w:bCs/>
          <w:color w:val="1F4E79"/>
          <w:sz w:val="22"/>
          <w:szCs w:val="22"/>
        </w:rPr>
        <w:t>4.2 Daily return and technical indicators</w:t>
      </w:r>
    </w:p>
    <w:p w14:paraId="041D2479">
      <w:pPr>
        <w:pStyle w:val="16"/>
        <w:numPr>
          <w:ilvl w:val="0"/>
          <w:numId w:val="1"/>
        </w:numPr>
        <w:spacing w:after="80" w:line="264" w:lineRule="auto"/>
        <w:jc w:val="both"/>
      </w:pPr>
      <w:r>
        <w:rPr>
          <w:rFonts w:ascii="Calibri" w:hAnsi="Calibri" w:eastAsia="Calibri" w:cs="Calibri"/>
          <w:b/>
          <w:bCs/>
          <w:sz w:val="21"/>
          <w:szCs w:val="21"/>
        </w:rPr>
        <w:t xml:space="preserve">Daily return: </w:t>
      </w:r>
      <w:r>
        <w:rPr>
          <w:rFonts w:ascii="Calibri" w:hAnsi="Calibri" w:eastAsia="Calibri" w:cs="Calibri"/>
          <w:sz w:val="21"/>
          <w:szCs w:val="21"/>
        </w:rPr>
        <w:t>calculated as the percentage change of the closing price from the previous day (the first row is NaN because there is no earlier day).</w:t>
      </w:r>
    </w:p>
    <w:p w14:paraId="2A246816">
      <w:pPr>
        <w:pStyle w:val="16"/>
        <w:numPr>
          <w:ilvl w:val="0"/>
          <w:numId w:val="1"/>
        </w:numPr>
        <w:spacing w:after="80" w:line="264" w:lineRule="auto"/>
        <w:jc w:val="both"/>
      </w:pPr>
      <w:r>
        <w:rPr>
          <w:rFonts w:ascii="Calibri" w:hAnsi="Calibri" w:eastAsia="Calibri" w:cs="Calibri"/>
          <w:b/>
          <w:bCs/>
          <w:sz w:val="21"/>
          <w:szCs w:val="21"/>
        </w:rPr>
        <w:t xml:space="preserve">EMA 20 and EMA 50: </w:t>
      </w:r>
      <w:r>
        <w:rPr>
          <w:rFonts w:ascii="Calibri" w:hAnsi="Calibri" w:eastAsia="Calibri" w:cs="Calibri"/>
          <w:sz w:val="21"/>
          <w:szCs w:val="21"/>
        </w:rPr>
        <w:t>exponential moving averages of the closing price. When EMA 20 is above EMA 50 the trend is labelled Bullish, otherwise Bearish. A crossover is recorded on the day the label changes from the previous day.</w:t>
      </w:r>
    </w:p>
    <w:p w14:paraId="1ABC9FC7">
      <w:pPr>
        <w:pStyle w:val="16"/>
        <w:numPr>
          <w:ilvl w:val="0"/>
          <w:numId w:val="1"/>
        </w:numPr>
        <w:spacing w:after="80" w:line="264" w:lineRule="auto"/>
        <w:jc w:val="both"/>
      </w:pPr>
      <w:r>
        <w:rPr>
          <w:rFonts w:ascii="Calibri" w:hAnsi="Calibri" w:eastAsia="Calibri" w:cs="Calibri"/>
          <w:b/>
          <w:bCs/>
          <w:sz w:val="21"/>
          <w:szCs w:val="21"/>
        </w:rPr>
        <w:t xml:space="preserve">MACD (12, 26, 9): </w:t>
      </w:r>
      <w:r>
        <w:rPr>
          <w:rFonts w:ascii="Calibri" w:hAnsi="Calibri" w:eastAsia="Calibri" w:cs="Calibri"/>
          <w:sz w:val="21"/>
          <w:szCs w:val="21"/>
        </w:rPr>
        <w:t>MACD line = EMA 12 − EMA 26; the signal line is a 9-period EMA of the MACD line; the histogram is MACD minus signal. A histogram moving from negative to positive is a bullish crossover and from positive to negative a bearish crossover.</w:t>
      </w:r>
    </w:p>
    <w:p w14:paraId="5916DDF9">
      <w:pPr>
        <w:pStyle w:val="16"/>
        <w:numPr>
          <w:ilvl w:val="0"/>
          <w:numId w:val="1"/>
        </w:numPr>
        <w:spacing w:after="80" w:line="264" w:lineRule="auto"/>
        <w:jc w:val="both"/>
      </w:pPr>
      <w:r>
        <w:rPr>
          <w:rFonts w:ascii="Calibri" w:hAnsi="Calibri" w:eastAsia="Calibri" w:cs="Calibri"/>
          <w:b/>
          <w:bCs/>
          <w:sz w:val="21"/>
          <w:szCs w:val="21"/>
        </w:rPr>
        <w:t xml:space="preserve">ADX (14) with +DI and −DI: </w:t>
      </w:r>
      <w:r>
        <w:rPr>
          <w:rFonts w:ascii="Calibri" w:hAnsi="Calibri" w:eastAsia="Calibri" w:cs="Calibri"/>
          <w:sz w:val="21"/>
          <w:szCs w:val="21"/>
        </w:rPr>
        <w:t>calculated with the ta library to measure trend strength irrespective of direction. Below 20 is typically a weak or sideways trend, 20–25 a developing trend and above 25 a stronger trend.</w:t>
      </w:r>
    </w:p>
    <w:p w14:paraId="0002AB11">
      <w:pPr>
        <w:pStyle w:val="16"/>
        <w:numPr>
          <w:ilvl w:val="0"/>
          <w:numId w:val="1"/>
        </w:numPr>
        <w:spacing w:after="80" w:line="264" w:lineRule="auto"/>
        <w:jc w:val="both"/>
      </w:pPr>
      <w:r>
        <w:rPr>
          <w:rFonts w:ascii="Calibri" w:hAnsi="Calibri" w:eastAsia="Calibri" w:cs="Calibri"/>
          <w:b/>
          <w:bCs/>
          <w:sz w:val="21"/>
          <w:szCs w:val="21"/>
        </w:rPr>
        <w:t xml:space="preserve">Volume analysis: </w:t>
      </w:r>
      <w:r>
        <w:rPr>
          <w:rFonts w:ascii="Calibri" w:hAnsi="Calibri" w:eastAsia="Calibri" w:cs="Calibri"/>
          <w:sz w:val="21"/>
          <w:szCs w:val="21"/>
        </w:rPr>
        <w:t>a day is flagged as high-volume when its volume exceeds twice the average volume.</w:t>
      </w:r>
    </w:p>
    <w:p w14:paraId="4B166989">
      <w:pPr>
        <w:keepNext/>
        <w:spacing w:before="160" w:after="80"/>
      </w:pPr>
      <w:r>
        <w:rPr>
          <w:rFonts w:ascii="Calibri" w:hAnsi="Calibri" w:eastAsia="Calibri" w:cs="Calibri"/>
          <w:b/>
          <w:bCs/>
          <w:color w:val="1F4E79"/>
          <w:sz w:val="22"/>
          <w:szCs w:val="22"/>
        </w:rPr>
        <w:t>4.3 Crossover signals identified</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200"/>
        <w:gridCol w:w="2200"/>
        <w:gridCol w:w="2206"/>
      </w:tblGrid>
      <w:tr w14:paraId="7F5B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7F7C8202">
            <w:pPr>
              <w:jc w:val="center"/>
            </w:pPr>
            <w:r>
              <w:rPr>
                <w:rFonts w:ascii="Calibri" w:hAnsi="Calibri" w:eastAsia="Calibri" w:cs="Calibri"/>
                <w:b/>
                <w:bCs/>
                <w:color w:val="FFFFFF"/>
                <w:sz w:val="19"/>
                <w:szCs w:val="19"/>
              </w:rPr>
              <w:t>Indicator</w:t>
            </w:r>
          </w:p>
        </w:tc>
        <w:tc>
          <w:tcPr>
            <w:tcW w:w="2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5E457359">
            <w:pPr>
              <w:jc w:val="center"/>
            </w:pPr>
            <w:r>
              <w:rPr>
                <w:rFonts w:ascii="Calibri" w:hAnsi="Calibri" w:eastAsia="Calibri" w:cs="Calibri"/>
                <w:b/>
                <w:bCs/>
                <w:color w:val="FFFFFF"/>
                <w:sz w:val="19"/>
                <w:szCs w:val="19"/>
              </w:rPr>
              <w:t>Bullish Crossovers</w:t>
            </w:r>
          </w:p>
        </w:tc>
        <w:tc>
          <w:tcPr>
            <w:tcW w:w="2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47EC7C59">
            <w:pPr>
              <w:jc w:val="center"/>
            </w:pPr>
            <w:r>
              <w:rPr>
                <w:rFonts w:ascii="Calibri" w:hAnsi="Calibri" w:eastAsia="Calibri" w:cs="Calibri"/>
                <w:b/>
                <w:bCs/>
                <w:color w:val="FFFFFF"/>
                <w:sz w:val="19"/>
                <w:szCs w:val="19"/>
              </w:rPr>
              <w:t>Bearish Crossovers</w:t>
            </w:r>
          </w:p>
        </w:tc>
        <w:tc>
          <w:tcPr>
            <w:tcW w:w="22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545FC3C7">
            <w:pPr>
              <w:jc w:val="center"/>
            </w:pPr>
            <w:r>
              <w:rPr>
                <w:rFonts w:ascii="Calibri" w:hAnsi="Calibri" w:eastAsia="Calibri" w:cs="Calibri"/>
                <w:b/>
                <w:bCs/>
                <w:color w:val="FFFFFF"/>
                <w:sz w:val="19"/>
                <w:szCs w:val="19"/>
              </w:rPr>
              <w:t>No Crossover Days</w:t>
            </w:r>
          </w:p>
        </w:tc>
      </w:tr>
      <w:tr w14:paraId="5853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3B07129">
            <w:pPr>
              <w:jc w:val="left"/>
            </w:pPr>
            <w:r>
              <w:rPr>
                <w:rFonts w:ascii="Calibri" w:hAnsi="Calibri" w:eastAsia="Calibri" w:cs="Calibri"/>
                <w:b/>
                <w:bCs/>
                <w:sz w:val="19"/>
                <w:szCs w:val="19"/>
              </w:rPr>
              <w:t>EMA 20 / EMA 50</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89B197">
            <w:pPr>
              <w:jc w:val="center"/>
            </w:pPr>
            <w:r>
              <w:rPr>
                <w:rFonts w:ascii="Calibri" w:hAnsi="Calibri" w:eastAsia="Calibri" w:cs="Calibri"/>
                <w:b w:val="0"/>
                <w:bCs w:val="0"/>
                <w:sz w:val="19"/>
                <w:szCs w:val="19"/>
              </w:rPr>
              <w:t>18</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77E7D0">
            <w:pPr>
              <w:jc w:val="center"/>
            </w:pPr>
            <w:r>
              <w:rPr>
                <w:rFonts w:ascii="Calibri" w:hAnsi="Calibri" w:eastAsia="Calibri" w:cs="Calibri"/>
                <w:b w:val="0"/>
                <w:bCs w:val="0"/>
                <w:sz w:val="19"/>
                <w:szCs w:val="19"/>
              </w:rPr>
              <w:t>18</w:t>
            </w:r>
          </w:p>
        </w:tc>
        <w:tc>
          <w:tcPr>
            <w:tcW w:w="22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9C8AFD9">
            <w:pPr>
              <w:jc w:val="center"/>
            </w:pPr>
            <w:r>
              <w:rPr>
                <w:rFonts w:ascii="Calibri" w:hAnsi="Calibri" w:eastAsia="Calibri" w:cs="Calibri"/>
                <w:b w:val="0"/>
                <w:bCs w:val="0"/>
                <w:sz w:val="19"/>
                <w:szCs w:val="19"/>
              </w:rPr>
              <w:t>1,616</w:t>
            </w:r>
          </w:p>
        </w:tc>
      </w:tr>
      <w:tr w14:paraId="0EDA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B39610">
            <w:pPr>
              <w:jc w:val="left"/>
            </w:pPr>
            <w:r>
              <w:rPr>
                <w:rFonts w:ascii="Calibri" w:hAnsi="Calibri" w:eastAsia="Calibri" w:cs="Calibri"/>
                <w:b/>
                <w:bCs/>
                <w:sz w:val="19"/>
                <w:szCs w:val="19"/>
              </w:rPr>
              <w:t>MACD / Signal line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CD9C21D">
            <w:pPr>
              <w:jc w:val="center"/>
            </w:pPr>
            <w:r>
              <w:rPr>
                <w:rFonts w:ascii="Calibri" w:hAnsi="Calibri" w:eastAsia="Calibri" w:cs="Calibri"/>
                <w:b w:val="0"/>
                <w:bCs w:val="0"/>
                <w:sz w:val="19"/>
                <w:szCs w:val="19"/>
              </w:rPr>
              <w:t>66</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3E491C6">
            <w:pPr>
              <w:jc w:val="center"/>
            </w:pPr>
            <w:r>
              <w:rPr>
                <w:rFonts w:ascii="Calibri" w:hAnsi="Calibri" w:eastAsia="Calibri" w:cs="Calibri"/>
                <w:b w:val="0"/>
                <w:bCs w:val="0"/>
                <w:sz w:val="19"/>
                <w:szCs w:val="19"/>
              </w:rPr>
              <w:t>66</w:t>
            </w:r>
          </w:p>
        </w:tc>
        <w:tc>
          <w:tcPr>
            <w:tcW w:w="22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347ADF9">
            <w:pPr>
              <w:jc w:val="center"/>
            </w:pPr>
            <w:r>
              <w:rPr>
                <w:rFonts w:ascii="Calibri" w:hAnsi="Calibri" w:eastAsia="Calibri" w:cs="Calibri"/>
                <w:b w:val="0"/>
                <w:bCs w:val="0"/>
                <w:sz w:val="19"/>
                <w:szCs w:val="19"/>
              </w:rPr>
              <w:t>1,520</w:t>
            </w:r>
          </w:p>
        </w:tc>
      </w:tr>
    </w:tbl>
    <w:p w14:paraId="1346C18A">
      <w:pPr>
        <w:spacing w:after="80"/>
      </w:pPr>
    </w:p>
    <w:p w14:paraId="323482F9">
      <w:pPr>
        <w:spacing w:after="120" w:line="264" w:lineRule="auto"/>
        <w:jc w:val="both"/>
      </w:pPr>
      <w:r>
        <w:rPr>
          <w:rFonts w:ascii="Calibri" w:hAnsi="Calibri" w:eastAsia="Calibri" w:cs="Calibri"/>
          <w:sz w:val="21"/>
          <w:szCs w:val="21"/>
        </w:rPr>
        <w:t>The first EMA crossover was bullish on 2020-01-10 and the first bearish crossover was on 2020-03-16, when the Close fell to its period low of 4.89. The most recent EMA crossovers are bullish on 2026-07-15 and bearish on 2026-07-28. Several clusters of crossovers on consecutive or nearby days (for example 2020-12-31 to 2021-01-11 and 2023-01-06 to 2023-01-09) show that EMA crossovers can flip quickly when the two averages are close together.</w:t>
      </w:r>
    </w:p>
    <w:p w14:paraId="62C034EA">
      <w:pPr>
        <w:keepNext/>
        <w:spacing w:before="160" w:after="80"/>
      </w:pPr>
      <w:r>
        <w:rPr>
          <w:rFonts w:ascii="Calibri" w:hAnsi="Calibri" w:eastAsia="Calibri" w:cs="Calibri"/>
          <w:b/>
          <w:bCs/>
          <w:color w:val="1F4E79"/>
          <w:sz w:val="22"/>
          <w:szCs w:val="22"/>
        </w:rPr>
        <w:t>4.4 Volume analysis</w:t>
      </w:r>
    </w:p>
    <w:p w14:paraId="259A98D0">
      <w:pPr>
        <w:spacing w:after="120" w:line="264" w:lineRule="auto"/>
        <w:jc w:val="both"/>
      </w:pPr>
      <w:r>
        <w:rPr>
          <w:rFonts w:ascii="Calibri" w:hAnsi="Calibri" w:eastAsia="Calibri" w:cs="Calibri"/>
          <w:sz w:val="21"/>
          <w:szCs w:val="21"/>
        </w:rPr>
        <w:t>The average daily volume is 387,911,210 shares. The highest volume in the dataset is 1,543,911,000 shares on 2023-05-25, when the Close was 37.90 and the daily return was +24.37%; on that day ADX was 38.01 with +DI at 61.02 against −DI at 9.50, showing very strong buying pressure. The last ten high-volume days (above twice the average) fall between 2023-08-24 and 2025-01-27, and the highest of these include 1,156,044,000 shares on 2023-08-24 and 1,142,269,000 shares on 2024-03-08.</w:t>
      </w:r>
    </w:p>
    <w:p w14:paraId="0CC997B1">
      <w:pPr>
        <w:keepNext/>
        <w:spacing w:before="160" w:after="80"/>
      </w:pPr>
      <w:r>
        <w:rPr>
          <w:rFonts w:ascii="Calibri" w:hAnsi="Calibri" w:eastAsia="Calibri" w:cs="Calibri"/>
          <w:b/>
          <w:bCs/>
          <w:color w:val="1F4E79"/>
          <w:sz w:val="22"/>
          <w:szCs w:val="22"/>
        </w:rPr>
        <w:t>4.5 Overall trend classification</w:t>
      </w:r>
    </w:p>
    <w:p w14:paraId="5D70F6EE">
      <w:pPr>
        <w:spacing w:after="120" w:line="264" w:lineRule="auto"/>
        <w:jc w:val="both"/>
      </w:pPr>
      <w:r>
        <w:rPr>
          <w:rFonts w:ascii="Calibri" w:hAnsi="Calibri" w:eastAsia="Calibri" w:cs="Calibri"/>
          <w:sz w:val="21"/>
          <w:szCs w:val="21"/>
        </w:rPr>
        <w:t>A Strong Bullish day requires EMA 20 &gt; EMA 50, MACD &gt; signal line, ADX &gt; 25 and +DI &gt; −DI. A Strong Bearish day requires EMA 20 &lt; EMA 50, MACD &lt; signal line, ADX &gt; 25 and −DI &gt; +DI. All other days are Mixed/Weak.</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200"/>
        <w:gridCol w:w="2200"/>
        <w:gridCol w:w="2206"/>
      </w:tblGrid>
      <w:tr w14:paraId="4E8F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0397F681">
            <w:pPr>
              <w:jc w:val="center"/>
            </w:pPr>
            <w:r>
              <w:rPr>
                <w:rFonts w:ascii="Calibri" w:hAnsi="Calibri" w:eastAsia="Calibri" w:cs="Calibri"/>
                <w:b/>
                <w:bCs/>
                <w:color w:val="FFFFFF"/>
                <w:sz w:val="19"/>
                <w:szCs w:val="19"/>
              </w:rPr>
              <w:t>Overall Trend</w:t>
            </w:r>
          </w:p>
        </w:tc>
        <w:tc>
          <w:tcPr>
            <w:tcW w:w="2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05137692">
            <w:pPr>
              <w:jc w:val="center"/>
            </w:pPr>
            <w:r>
              <w:rPr>
                <w:rFonts w:ascii="Calibri" w:hAnsi="Calibri" w:eastAsia="Calibri" w:cs="Calibri"/>
                <w:b/>
                <w:bCs/>
                <w:color w:val="FFFFFF"/>
                <w:sz w:val="19"/>
                <w:szCs w:val="19"/>
              </w:rPr>
              <w:t>Number of Days</w:t>
            </w:r>
          </w:p>
        </w:tc>
        <w:tc>
          <w:tcPr>
            <w:tcW w:w="2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77494441">
            <w:pPr>
              <w:jc w:val="center"/>
            </w:pPr>
            <w:r>
              <w:rPr>
                <w:rFonts w:ascii="Calibri" w:hAnsi="Calibri" w:eastAsia="Calibri" w:cs="Calibri"/>
                <w:b/>
                <w:bCs/>
                <w:color w:val="FFFFFF"/>
                <w:sz w:val="19"/>
                <w:szCs w:val="19"/>
              </w:rPr>
              <w:t>Share of 1,652 Days</w:t>
            </w:r>
          </w:p>
        </w:tc>
        <w:tc>
          <w:tcPr>
            <w:tcW w:w="22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7EB5D8AC">
            <w:pPr>
              <w:jc w:val="center"/>
            </w:pPr>
            <w:r>
              <w:rPr>
                <w:rFonts w:ascii="Calibri" w:hAnsi="Calibri" w:eastAsia="Calibri" w:cs="Calibri"/>
                <w:b/>
                <w:bCs/>
                <w:color w:val="FFFFFF"/>
                <w:sz w:val="19"/>
                <w:szCs w:val="19"/>
              </w:rPr>
              <w:t>Interpretation</w:t>
            </w:r>
          </w:p>
        </w:tc>
      </w:tr>
      <w:tr w14:paraId="1F0F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B6545A4">
            <w:pPr>
              <w:jc w:val="left"/>
            </w:pPr>
            <w:r>
              <w:rPr>
                <w:rFonts w:ascii="Calibri" w:hAnsi="Calibri" w:eastAsia="Calibri" w:cs="Calibri"/>
                <w:b/>
                <w:bCs/>
                <w:sz w:val="19"/>
                <w:szCs w:val="19"/>
              </w:rPr>
              <w:t>Mixed/Weak</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BC59B2">
            <w:pPr>
              <w:jc w:val="center"/>
            </w:pPr>
            <w:r>
              <w:rPr>
                <w:rFonts w:ascii="Calibri" w:hAnsi="Calibri" w:eastAsia="Calibri" w:cs="Calibri"/>
                <w:b w:val="0"/>
                <w:bCs w:val="0"/>
                <w:sz w:val="19"/>
                <w:szCs w:val="19"/>
              </w:rPr>
              <w:t>1,299</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0CD43FA">
            <w:pPr>
              <w:jc w:val="center"/>
            </w:pPr>
            <w:r>
              <w:rPr>
                <w:rFonts w:ascii="Calibri" w:hAnsi="Calibri" w:eastAsia="Calibri" w:cs="Calibri"/>
                <w:b w:val="0"/>
                <w:bCs w:val="0"/>
                <w:sz w:val="19"/>
                <w:szCs w:val="19"/>
              </w:rPr>
              <w:t>78.6%</w:t>
            </w:r>
          </w:p>
        </w:tc>
        <w:tc>
          <w:tcPr>
            <w:tcW w:w="22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E304B3A">
            <w:pPr>
              <w:jc w:val="left"/>
            </w:pPr>
            <w:r>
              <w:rPr>
                <w:rFonts w:ascii="Calibri" w:hAnsi="Calibri" w:eastAsia="Calibri" w:cs="Calibri"/>
                <w:b w:val="0"/>
                <w:bCs w:val="0"/>
                <w:sz w:val="19"/>
                <w:szCs w:val="19"/>
              </w:rPr>
              <w:t>No strong, confirmed trend</w:t>
            </w:r>
          </w:p>
        </w:tc>
      </w:tr>
      <w:tr w14:paraId="7028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9F0A544">
            <w:pPr>
              <w:jc w:val="left"/>
            </w:pPr>
            <w:r>
              <w:rPr>
                <w:rFonts w:ascii="Calibri" w:hAnsi="Calibri" w:eastAsia="Calibri" w:cs="Calibri"/>
                <w:b/>
                <w:bCs/>
                <w:sz w:val="19"/>
                <w:szCs w:val="19"/>
              </w:rPr>
              <w:t>Strong Bullish</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6954ECF">
            <w:pPr>
              <w:jc w:val="center"/>
            </w:pPr>
            <w:r>
              <w:rPr>
                <w:rFonts w:ascii="Calibri" w:hAnsi="Calibri" w:eastAsia="Calibri" w:cs="Calibri"/>
                <w:b w:val="0"/>
                <w:bCs w:val="0"/>
                <w:sz w:val="19"/>
                <w:szCs w:val="19"/>
              </w:rPr>
              <w:t>282</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46B3FA">
            <w:pPr>
              <w:jc w:val="center"/>
            </w:pPr>
            <w:r>
              <w:rPr>
                <w:rFonts w:ascii="Calibri" w:hAnsi="Calibri" w:eastAsia="Calibri" w:cs="Calibri"/>
                <w:b w:val="0"/>
                <w:bCs w:val="0"/>
                <w:sz w:val="19"/>
                <w:szCs w:val="19"/>
              </w:rPr>
              <w:t>17.1%</w:t>
            </w:r>
          </w:p>
        </w:tc>
        <w:tc>
          <w:tcPr>
            <w:tcW w:w="22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075A9DF">
            <w:pPr>
              <w:jc w:val="left"/>
            </w:pPr>
            <w:r>
              <w:rPr>
                <w:rFonts w:ascii="Calibri" w:hAnsi="Calibri" w:eastAsia="Calibri" w:cs="Calibri"/>
                <w:b w:val="0"/>
                <w:bCs w:val="0"/>
                <w:sz w:val="19"/>
                <w:szCs w:val="19"/>
              </w:rPr>
              <w:t>Confirmed uptrend</w:t>
            </w:r>
          </w:p>
        </w:tc>
      </w:tr>
      <w:tr w14:paraId="148F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8E0691E">
            <w:pPr>
              <w:jc w:val="left"/>
            </w:pPr>
            <w:r>
              <w:rPr>
                <w:rFonts w:ascii="Calibri" w:hAnsi="Calibri" w:eastAsia="Calibri" w:cs="Calibri"/>
                <w:b/>
                <w:bCs/>
                <w:sz w:val="19"/>
                <w:szCs w:val="19"/>
              </w:rPr>
              <w:t>Strong Bearish</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71D5D1">
            <w:pPr>
              <w:jc w:val="center"/>
            </w:pPr>
            <w:r>
              <w:rPr>
                <w:rFonts w:ascii="Calibri" w:hAnsi="Calibri" w:eastAsia="Calibri" w:cs="Calibri"/>
                <w:b w:val="0"/>
                <w:bCs w:val="0"/>
                <w:sz w:val="19"/>
                <w:szCs w:val="19"/>
              </w:rPr>
              <w:t>71</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1F5BD6E">
            <w:pPr>
              <w:jc w:val="center"/>
            </w:pPr>
            <w:r>
              <w:rPr>
                <w:rFonts w:ascii="Calibri" w:hAnsi="Calibri" w:eastAsia="Calibri" w:cs="Calibri"/>
                <w:b w:val="0"/>
                <w:bCs w:val="0"/>
                <w:sz w:val="19"/>
                <w:szCs w:val="19"/>
              </w:rPr>
              <w:t>4.3%</w:t>
            </w:r>
          </w:p>
        </w:tc>
        <w:tc>
          <w:tcPr>
            <w:tcW w:w="22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47667BC">
            <w:pPr>
              <w:jc w:val="left"/>
            </w:pPr>
            <w:r>
              <w:rPr>
                <w:rFonts w:ascii="Calibri" w:hAnsi="Calibri" w:eastAsia="Calibri" w:cs="Calibri"/>
                <w:b w:val="0"/>
                <w:bCs w:val="0"/>
                <w:sz w:val="19"/>
                <w:szCs w:val="19"/>
              </w:rPr>
              <w:t>Confirmed downtrend</w:t>
            </w:r>
          </w:p>
        </w:tc>
      </w:tr>
    </w:tbl>
    <w:p w14:paraId="2044D20E">
      <w:pPr>
        <w:pStyle w:val="2"/>
        <w:keepNext/>
        <w:shd w:val="clear" w:fill="DDEBF7"/>
        <w:spacing w:before="320" w:after="160"/>
      </w:pPr>
      <w:r>
        <w:rPr>
          <w:rFonts w:ascii="Calibri" w:hAnsi="Calibri" w:eastAsia="Calibri" w:cs="Calibri"/>
          <w:b/>
          <w:bCs/>
          <w:color w:val="1F4E79"/>
          <w:sz w:val="26"/>
          <w:szCs w:val="26"/>
        </w:rPr>
        <w:t>5. Data Visualization &amp; Observations</w:t>
      </w:r>
    </w:p>
    <w:p w14:paraId="537606D0">
      <w:pPr>
        <w:keepNext/>
        <w:spacing w:before="120" w:after="60"/>
        <w:jc w:val="center"/>
      </w:pPr>
      <w:r>
        <w:drawing>
          <wp:inline distT="0" distB="0" distL="0" distR="0">
            <wp:extent cx="4953000" cy="3181350"/>
            <wp:effectExtent l="0" t="0" r="0" b="0"/>
            <wp:docPr id="1" name="NVDA date-wise closing price chart (2020–2026)" descr="NVDA date-wise closing price chart (2020–2026)" title="NVDA date-wise closing price chart (202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VDA date-wise closing price chart (2020–2026)" descr="NVDA date-wise closing price chart (2020–2026)" title="NVDA date-wise closing price chart (2020–2026)"/>
                    <pic:cNvPicPr>
                      <a:picLocks noChangeAspect="1" noChangeArrowheads="1"/>
                    </pic:cNvPicPr>
                  </pic:nvPicPr>
                  <pic:blipFill>
                    <a:blip r:embed="rId5"/>
                    <a:srcRect/>
                    <a:stretch>
                      <a:fillRect/>
                    </a:stretch>
                  </pic:blipFill>
                  <pic:spPr>
                    <a:xfrm>
                      <a:off x="0" y="0"/>
                      <a:ext cx="4953000" cy="3181350"/>
                    </a:xfrm>
                    <a:prstGeom prst="rect">
                      <a:avLst/>
                    </a:prstGeom>
                  </pic:spPr>
                </pic:pic>
              </a:graphicData>
            </a:graphic>
          </wp:inline>
        </w:drawing>
      </w:r>
    </w:p>
    <w:p w14:paraId="49117EA7">
      <w:pPr>
        <w:spacing w:after="80"/>
        <w:jc w:val="center"/>
      </w:pPr>
      <w:r>
        <w:rPr>
          <w:rFonts w:ascii="Calibri" w:hAnsi="Calibri" w:eastAsia="Calibri" w:cs="Calibri"/>
          <w:i/>
          <w:iCs/>
          <w:color w:val="555555"/>
          <w:sz w:val="19"/>
          <w:szCs w:val="19"/>
        </w:rPr>
        <w:t>Figure 1: NVDA date-wise closing price chart (2020–2026)</w:t>
      </w:r>
    </w:p>
    <w:p w14:paraId="116E24EA">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The price stayed below about 35 USD until 2023 and then rose steeply from early 2024, reaching a peak of roughly 235 USD in mid-2026. The long-term direction is clearly upward, with sharp corrections in 2022 and in early 2025.</w:t>
      </w:r>
    </w:p>
    <w:p w14:paraId="64BE9FC5">
      <w:pPr>
        <w:keepNext/>
        <w:spacing w:before="120" w:after="60"/>
        <w:jc w:val="center"/>
      </w:pPr>
      <w:r>
        <w:drawing>
          <wp:inline distT="0" distB="0" distL="0" distR="0">
            <wp:extent cx="5334000" cy="2266950"/>
            <wp:effectExtent l="0" t="0" r="0" b="0"/>
            <wp:docPr id="2" name="NVDA closing price with EMA 20 and EMA 50" descr="NVDA closing price with EMA 20 and EMA 50" title="NVDA closing price with EMA 20 and EM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VDA closing price with EMA 20 and EMA 50" descr="NVDA closing price with EMA 20 and EMA 50" title="NVDA closing price with EMA 20 and EMA 50"/>
                    <pic:cNvPicPr>
                      <a:picLocks noChangeAspect="1" noChangeArrowheads="1"/>
                    </pic:cNvPicPr>
                  </pic:nvPicPr>
                  <pic:blipFill>
                    <a:blip r:embed="rId6"/>
                    <a:srcRect/>
                    <a:stretch>
                      <a:fillRect/>
                    </a:stretch>
                  </pic:blipFill>
                  <pic:spPr>
                    <a:xfrm>
                      <a:off x="0" y="0"/>
                      <a:ext cx="5334000" cy="2266950"/>
                    </a:xfrm>
                    <a:prstGeom prst="rect">
                      <a:avLst/>
                    </a:prstGeom>
                  </pic:spPr>
                </pic:pic>
              </a:graphicData>
            </a:graphic>
          </wp:inline>
        </w:drawing>
      </w:r>
    </w:p>
    <w:p w14:paraId="0B1EB412">
      <w:pPr>
        <w:spacing w:after="80"/>
        <w:jc w:val="center"/>
      </w:pPr>
      <w:r>
        <w:rPr>
          <w:rFonts w:ascii="Calibri" w:hAnsi="Calibri" w:eastAsia="Calibri" w:cs="Calibri"/>
          <w:i/>
          <w:iCs/>
          <w:color w:val="555555"/>
          <w:sz w:val="19"/>
          <w:szCs w:val="19"/>
        </w:rPr>
        <w:t>Figure 2: NVDA closing price with EMA 20 and EMA 50</w:t>
      </w:r>
    </w:p>
    <w:p w14:paraId="30155824">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Both EMAs follow the price closely and smooth out its daily noise. EMA 20 reacts faster than EMA 50. During strong rallies (2023–2024 and 2025) EMA 20 stays above EMA 50, while in the 2022 decline and the early-2025 dip it falls below it. The two lines are almost on top of each other at the end of the series, showing a trend that has recently lost direction.</w:t>
      </w:r>
    </w:p>
    <w:p w14:paraId="2F542726">
      <w:pPr>
        <w:keepNext/>
        <w:spacing w:before="120" w:after="60"/>
        <w:jc w:val="center"/>
      </w:pPr>
      <w:r>
        <w:drawing>
          <wp:inline distT="0" distB="0" distL="0" distR="0">
            <wp:extent cx="4191000" cy="2314575"/>
            <wp:effectExtent l="0" t="0" r="0" b="0"/>
            <wp:docPr id="3" name="Distribution of NVDA daily returns" descr="Distribution of NVDA daily returns" title="Distribution of NVDA dai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tion of NVDA daily returns" descr="Distribution of NVDA daily returns" title="Distribution of NVDA daily returns"/>
                    <pic:cNvPicPr>
                      <a:picLocks noChangeAspect="1" noChangeArrowheads="1"/>
                    </pic:cNvPicPr>
                  </pic:nvPicPr>
                  <pic:blipFill>
                    <a:blip r:embed="rId7"/>
                    <a:srcRect/>
                    <a:stretch>
                      <a:fillRect/>
                    </a:stretch>
                  </pic:blipFill>
                  <pic:spPr>
                    <a:xfrm>
                      <a:off x="0" y="0"/>
                      <a:ext cx="4191000" cy="2314575"/>
                    </a:xfrm>
                    <a:prstGeom prst="rect">
                      <a:avLst/>
                    </a:prstGeom>
                  </pic:spPr>
                </pic:pic>
              </a:graphicData>
            </a:graphic>
          </wp:inline>
        </w:drawing>
      </w:r>
    </w:p>
    <w:p w14:paraId="08F39100">
      <w:pPr>
        <w:spacing w:after="80"/>
        <w:jc w:val="center"/>
      </w:pPr>
      <w:r>
        <w:rPr>
          <w:rFonts w:ascii="Calibri" w:hAnsi="Calibri" w:eastAsia="Calibri" w:cs="Calibri"/>
          <w:i/>
          <w:iCs/>
          <w:color w:val="555555"/>
          <w:sz w:val="19"/>
          <w:szCs w:val="19"/>
        </w:rPr>
        <w:t>Figure 3: Distribution of NVDA daily returns</w:t>
      </w:r>
    </w:p>
    <w:p w14:paraId="2387AA8E">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Daily returns are centred near 0% and most values lie between about −5% and +5%, giving an almost bell-shaped histogram. A few extreme days exist on both tails, up to about +24% and close to −18%, showing that large single-day moves do occur.</w:t>
      </w:r>
    </w:p>
    <w:p w14:paraId="68FA610C">
      <w:pPr>
        <w:keepNext/>
        <w:spacing w:before="120" w:after="60"/>
        <w:jc w:val="center"/>
      </w:pPr>
      <w:r>
        <w:drawing>
          <wp:inline distT="0" distB="0" distL="0" distR="0">
            <wp:extent cx="5334000" cy="2657475"/>
            <wp:effectExtent l="0" t="0" r="0" b="0"/>
            <wp:docPr id="4" name="NVDA closing price and daily trading volume" descr="NVDA closing price and daily trading volume" title="NVDA closing price and daily trading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VDA closing price and daily trading volume" descr="NVDA closing price and daily trading volume" title="NVDA closing price and daily trading volume"/>
                    <pic:cNvPicPr>
                      <a:picLocks noChangeAspect="1" noChangeArrowheads="1"/>
                    </pic:cNvPicPr>
                  </pic:nvPicPr>
                  <pic:blipFill>
                    <a:blip r:embed="rId8"/>
                    <a:srcRect/>
                    <a:stretch>
                      <a:fillRect/>
                    </a:stretch>
                  </pic:blipFill>
                  <pic:spPr>
                    <a:xfrm>
                      <a:off x="0" y="0"/>
                      <a:ext cx="5334000" cy="2657475"/>
                    </a:xfrm>
                    <a:prstGeom prst="rect">
                      <a:avLst/>
                    </a:prstGeom>
                  </pic:spPr>
                </pic:pic>
              </a:graphicData>
            </a:graphic>
          </wp:inline>
        </w:drawing>
      </w:r>
    </w:p>
    <w:p w14:paraId="6128F75C">
      <w:pPr>
        <w:spacing w:after="80"/>
        <w:jc w:val="center"/>
      </w:pPr>
      <w:r>
        <w:rPr>
          <w:rFonts w:ascii="Calibri" w:hAnsi="Calibri" w:eastAsia="Calibri" w:cs="Calibri"/>
          <w:i/>
          <w:iCs/>
          <w:color w:val="555555"/>
          <w:sz w:val="19"/>
          <w:szCs w:val="19"/>
        </w:rPr>
        <w:t>Figure 4: NVDA closing price and daily trading volume</w:t>
      </w:r>
    </w:p>
    <w:p w14:paraId="36356E17">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Volume was highest in 2020–2021, remained high through 2023–early 2024 with several spikes above 1 billion shares, and then declined to a lower, steadier level from 2025 even while the price kept making new highs.</w:t>
      </w:r>
    </w:p>
    <w:p w14:paraId="5F00FCA9">
      <w:pPr>
        <w:keepNext/>
        <w:spacing w:before="120" w:after="60"/>
        <w:jc w:val="center"/>
      </w:pPr>
      <w:r>
        <w:drawing>
          <wp:inline distT="0" distB="0" distL="0" distR="0">
            <wp:extent cx="5143500" cy="2695575"/>
            <wp:effectExtent l="0" t="0" r="0" b="0"/>
            <wp:docPr id="5" name="NVDA MACD and signal line" descr="NVDA MACD and signal line" title="NVDA MACD and sign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VDA MACD and signal line" descr="NVDA MACD and signal line" title="NVDA MACD and signal line"/>
                    <pic:cNvPicPr>
                      <a:picLocks noChangeAspect="1" noChangeArrowheads="1"/>
                    </pic:cNvPicPr>
                  </pic:nvPicPr>
                  <pic:blipFill>
                    <a:blip r:embed="rId9"/>
                    <a:srcRect/>
                    <a:stretch>
                      <a:fillRect/>
                    </a:stretch>
                  </pic:blipFill>
                  <pic:spPr>
                    <a:xfrm>
                      <a:off x="0" y="0"/>
                      <a:ext cx="5143500" cy="2695575"/>
                    </a:xfrm>
                    <a:prstGeom prst="rect">
                      <a:avLst/>
                    </a:prstGeom>
                  </pic:spPr>
                </pic:pic>
              </a:graphicData>
            </a:graphic>
          </wp:inline>
        </w:drawing>
      </w:r>
    </w:p>
    <w:p w14:paraId="696026FE">
      <w:pPr>
        <w:spacing w:after="80"/>
        <w:jc w:val="center"/>
      </w:pPr>
      <w:r>
        <w:rPr>
          <w:rFonts w:ascii="Calibri" w:hAnsi="Calibri" w:eastAsia="Calibri" w:cs="Calibri"/>
          <w:i/>
          <w:iCs/>
          <w:color w:val="555555"/>
          <w:sz w:val="19"/>
          <w:szCs w:val="19"/>
        </w:rPr>
        <w:t>Figure 5: NVDA MACD and signal line</w:t>
      </w:r>
    </w:p>
    <w:p w14:paraId="70A78823">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The MACD and signal lines oscillate around zero. Their swings were small before 2023 and became much larger from 2024 onwards (peaks near +10 and troughs near −6), indicating stronger momentum and higher volatility in the later period.</w:t>
      </w:r>
    </w:p>
    <w:p w14:paraId="57D224BE">
      <w:pPr>
        <w:keepNext/>
        <w:spacing w:before="120" w:after="60"/>
        <w:jc w:val="center"/>
      </w:pPr>
      <w:r>
        <w:drawing>
          <wp:inline distT="0" distB="0" distL="0" distR="0">
            <wp:extent cx="5143500" cy="2924175"/>
            <wp:effectExtent l="0" t="0" r="0" b="0"/>
            <wp:docPr id="6" name="NVDA MACD histogram" descr="NVDA MACD histogram" title="NVDA MACD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VDA MACD histogram" descr="NVDA MACD histogram" title="NVDA MACD histogram"/>
                    <pic:cNvPicPr>
                      <a:picLocks noChangeAspect="1" noChangeArrowheads="1"/>
                    </pic:cNvPicPr>
                  </pic:nvPicPr>
                  <pic:blipFill>
                    <a:blip r:embed="rId10"/>
                    <a:srcRect/>
                    <a:stretch>
                      <a:fillRect/>
                    </a:stretch>
                  </pic:blipFill>
                  <pic:spPr>
                    <a:xfrm>
                      <a:off x="0" y="0"/>
                      <a:ext cx="5143500" cy="2924175"/>
                    </a:xfrm>
                    <a:prstGeom prst="rect">
                      <a:avLst/>
                    </a:prstGeom>
                  </pic:spPr>
                </pic:pic>
              </a:graphicData>
            </a:graphic>
          </wp:inline>
        </w:drawing>
      </w:r>
    </w:p>
    <w:p w14:paraId="0707F214">
      <w:pPr>
        <w:spacing w:after="80"/>
        <w:jc w:val="center"/>
      </w:pPr>
      <w:r>
        <w:rPr>
          <w:rFonts w:ascii="Calibri" w:hAnsi="Calibri" w:eastAsia="Calibri" w:cs="Calibri"/>
          <w:i/>
          <w:iCs/>
          <w:color w:val="555555"/>
          <w:sz w:val="19"/>
          <w:szCs w:val="19"/>
        </w:rPr>
        <w:t>Figure 6: NVDA MACD histogram</w:t>
      </w:r>
    </w:p>
    <w:p w14:paraId="6DE8AEB3">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Bars above zero show bullish momentum and bars below zero show bearish momentum. The histogram is very small before 2023 and has large positive and negative spikes after 2024 (about +3 to −2.5). The most recent bars are negative, in line with the MACD signal in Section 4.</w:t>
      </w:r>
    </w:p>
    <w:p w14:paraId="0DE4F33C">
      <w:pPr>
        <w:keepNext/>
        <w:spacing w:before="120" w:after="60"/>
        <w:jc w:val="center"/>
      </w:pPr>
      <w:r>
        <w:drawing>
          <wp:inline distT="0" distB="0" distL="0" distR="0">
            <wp:extent cx="3619500" cy="2933700"/>
            <wp:effectExtent l="0" t="0" r="0" b="0"/>
            <wp:docPr id="7" name="NVDA ADX trend strength with levels 20 and 25" descr="NVDA ADX trend strength with levels 20 and 25" title="NVDA ADX trend strength with levels 20 an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VDA ADX trend strength with levels 20 and 25" descr="NVDA ADX trend strength with levels 20 and 25" title="NVDA ADX trend strength with levels 20 and 25"/>
                    <pic:cNvPicPr>
                      <a:picLocks noChangeAspect="1" noChangeArrowheads="1"/>
                    </pic:cNvPicPr>
                  </pic:nvPicPr>
                  <pic:blipFill>
                    <a:blip r:embed="rId11"/>
                    <a:srcRect/>
                    <a:stretch>
                      <a:fillRect/>
                    </a:stretch>
                  </pic:blipFill>
                  <pic:spPr>
                    <a:xfrm>
                      <a:off x="0" y="0"/>
                      <a:ext cx="3619500" cy="2933700"/>
                    </a:xfrm>
                    <a:prstGeom prst="rect">
                      <a:avLst/>
                    </a:prstGeom>
                  </pic:spPr>
                </pic:pic>
              </a:graphicData>
            </a:graphic>
          </wp:inline>
        </w:drawing>
      </w:r>
    </w:p>
    <w:p w14:paraId="543F91F5">
      <w:pPr>
        <w:spacing w:after="80"/>
        <w:jc w:val="center"/>
      </w:pPr>
      <w:r>
        <w:rPr>
          <w:rFonts w:ascii="Calibri" w:hAnsi="Calibri" w:eastAsia="Calibri" w:cs="Calibri"/>
          <w:i/>
          <w:iCs/>
          <w:color w:val="555555"/>
          <w:sz w:val="19"/>
          <w:szCs w:val="19"/>
        </w:rPr>
        <w:t>Figure 7: NVDA ADX trend strength with levels 20 and 25</w:t>
      </w:r>
    </w:p>
    <w:p w14:paraId="73C7B248">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ADX is above 25 only in short bursts — notably 2021, late 2021, 2023–2024 and 2025 with peaks of about 50–56 — and spends most of the time near or below 20. The latest values are about 15, so the market is currently in a weak or sideways phase. The flat line at zero at the start is the warm-up period of the indicator.</w:t>
      </w:r>
    </w:p>
    <w:p w14:paraId="79542530">
      <w:pPr>
        <w:keepNext/>
        <w:spacing w:before="120" w:after="60"/>
        <w:jc w:val="center"/>
      </w:pPr>
      <w:r>
        <w:drawing>
          <wp:inline distT="0" distB="0" distL="0" distR="0">
            <wp:extent cx="5334000" cy="2133600"/>
            <wp:effectExtent l="0" t="0" r="0" b="0"/>
            <wp:docPr id="8" name="NVDA ADX with +DI and −DI directional indicators" descr="NVDA ADX with +DI and −DI directional indicators" title="NVDA ADX with +DI and −DI directional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VDA ADX with +DI and −DI directional indicators" descr="NVDA ADX with +DI and −DI directional indicators" title="NVDA ADX with +DI and −DI directional indicators"/>
                    <pic:cNvPicPr>
                      <a:picLocks noChangeAspect="1" noChangeArrowheads="1"/>
                    </pic:cNvPicPr>
                  </pic:nvPicPr>
                  <pic:blipFill>
                    <a:blip r:embed="rId12"/>
                    <a:srcRect/>
                    <a:stretch>
                      <a:fillRect/>
                    </a:stretch>
                  </pic:blipFill>
                  <pic:spPr>
                    <a:xfrm>
                      <a:off x="0" y="0"/>
                      <a:ext cx="5334000" cy="2133600"/>
                    </a:xfrm>
                    <a:prstGeom prst="rect">
                      <a:avLst/>
                    </a:prstGeom>
                  </pic:spPr>
                </pic:pic>
              </a:graphicData>
            </a:graphic>
          </wp:inline>
        </w:drawing>
      </w:r>
    </w:p>
    <w:p w14:paraId="172D37F2">
      <w:pPr>
        <w:spacing w:after="80"/>
        <w:jc w:val="center"/>
      </w:pPr>
      <w:r>
        <w:rPr>
          <w:rFonts w:ascii="Calibri" w:hAnsi="Calibri" w:eastAsia="Calibri" w:cs="Calibri"/>
          <w:i/>
          <w:iCs/>
          <w:color w:val="555555"/>
          <w:sz w:val="19"/>
          <w:szCs w:val="19"/>
        </w:rPr>
        <w:t>Figure 8: NVDA ADX with +DI and −DI directional indicators</w:t>
      </w:r>
    </w:p>
    <w:p w14:paraId="0BC7399D">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When +DI (green) is above −DI (red) buyers dominate the direction, and when −DI is above +DI sellers dominate. The directional lines cross often, while ADX (blue) shows whether the move has real strength: the clearest bullish phases occur when +DI is well above −DI and ADX rises above 25. At the end of the series −DI (about 23.5) is above +DI (about 14.0) but ADX is only about 15, so the recent selling pressure is directional but not yet backed by a strong trend.</w:t>
      </w:r>
    </w:p>
    <w:p w14:paraId="16D15CF5">
      <w:pPr>
        <w:keepNext/>
        <w:spacing w:before="120" w:after="60"/>
        <w:jc w:val="center"/>
      </w:pPr>
      <w:r>
        <w:drawing>
          <wp:inline distT="0" distB="0" distL="0" distR="0">
            <wp:extent cx="5143500" cy="3429000"/>
            <wp:effectExtent l="0" t="0" r="0" b="0"/>
            <wp:docPr id="9" name="Correlation heatmap of NVDA price, volume and indicators" descr="Correlation heatmap of NVDA price, volume and indicators" title="Correlation heatmap of NVDA price, volume and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rrelation heatmap of NVDA price, volume and indicators" descr="Correlation heatmap of NVDA price, volume and indicators" title="Correlation heatmap of NVDA price, volume and indicators"/>
                    <pic:cNvPicPr>
                      <a:picLocks noChangeAspect="1" noChangeArrowheads="1"/>
                    </pic:cNvPicPr>
                  </pic:nvPicPr>
                  <pic:blipFill>
                    <a:blip r:embed="rId13"/>
                    <a:srcRect/>
                    <a:stretch>
                      <a:fillRect/>
                    </a:stretch>
                  </pic:blipFill>
                  <pic:spPr>
                    <a:xfrm>
                      <a:off x="0" y="0"/>
                      <a:ext cx="5143500" cy="3429000"/>
                    </a:xfrm>
                    <a:prstGeom prst="rect">
                      <a:avLst/>
                    </a:prstGeom>
                  </pic:spPr>
                </pic:pic>
              </a:graphicData>
            </a:graphic>
          </wp:inline>
        </w:drawing>
      </w:r>
    </w:p>
    <w:p w14:paraId="5BA8EA86">
      <w:pPr>
        <w:spacing w:after="80"/>
        <w:jc w:val="center"/>
      </w:pPr>
      <w:r>
        <w:rPr>
          <w:rFonts w:ascii="Calibri" w:hAnsi="Calibri" w:eastAsia="Calibri" w:cs="Calibri"/>
          <w:i/>
          <w:iCs/>
          <w:color w:val="555555"/>
          <w:sz w:val="19"/>
          <w:szCs w:val="19"/>
        </w:rPr>
        <w:t>Figure 9: Correlation heatmap of NVDA price, volume and indicators</w:t>
      </w:r>
    </w:p>
    <w:p w14:paraId="1DBA6510">
      <w:pPr>
        <w:spacing w:after="120" w:line="264" w:lineRule="auto"/>
        <w:jc w:val="both"/>
      </w:pPr>
      <w:r>
        <w:rPr>
          <w:rFonts w:ascii="Calibri" w:hAnsi="Calibri" w:eastAsia="Calibri" w:cs="Calibri"/>
          <w:b/>
          <w:bCs/>
          <w:sz w:val="21"/>
          <w:szCs w:val="21"/>
        </w:rPr>
        <w:t xml:space="preserve">Observation: </w:t>
      </w:r>
      <w:r>
        <w:rPr>
          <w:rFonts w:ascii="Calibri" w:hAnsi="Calibri" w:eastAsia="Calibri" w:cs="Calibri"/>
          <w:sz w:val="21"/>
          <w:szCs w:val="21"/>
        </w:rPr>
        <w:t>Red cells show positive and blue cells negative correlation. Open, High, Low and Close are almost perfectly correlated (1.00) because they move together within a day. Volume is moderately negatively correlated with price (−0.57), matching the earlier chart where volume fell while price rose. Daily return has almost no correlation with the price level, and the indicator columns show their strongest links with each other: MACD with +DI (0.60) and −DI (−0.56), and +DI with −DI (−0.65).</w:t>
      </w:r>
    </w:p>
    <w:p w14:paraId="10E49500">
      <w:pPr>
        <w:pStyle w:val="2"/>
        <w:keepNext/>
        <w:shd w:val="clear" w:fill="DDEBF7"/>
        <w:spacing w:before="320" w:after="160"/>
      </w:pPr>
      <w:r>
        <w:rPr>
          <w:rFonts w:ascii="Calibri" w:hAnsi="Calibri" w:eastAsia="Calibri" w:cs="Calibri"/>
          <w:b/>
          <w:bCs/>
          <w:color w:val="1F4E79"/>
          <w:sz w:val="26"/>
          <w:szCs w:val="26"/>
        </w:rPr>
        <w:t>6. Statistical Analysis (Basic)</w:t>
      </w:r>
    </w:p>
    <w:p w14:paraId="27967493">
      <w:pPr>
        <w:keepNext/>
        <w:spacing w:before="160" w:after="80"/>
      </w:pPr>
      <w:r>
        <w:rPr>
          <w:rFonts w:ascii="Calibri" w:hAnsi="Calibri" w:eastAsia="Calibri" w:cs="Calibri"/>
          <w:b/>
          <w:bCs/>
          <w:color w:val="1F4E79"/>
          <w:sz w:val="22"/>
          <w:szCs w:val="22"/>
        </w:rPr>
        <w:t>6.1 Central tendency and spread</w:t>
      </w:r>
    </w:p>
    <w:p w14:paraId="5B056D6C">
      <w:pPr>
        <w:pStyle w:val="16"/>
        <w:numPr>
          <w:ilvl w:val="0"/>
          <w:numId w:val="1"/>
        </w:numPr>
        <w:spacing w:after="80" w:line="264" w:lineRule="auto"/>
        <w:jc w:val="both"/>
      </w:pPr>
      <w:r>
        <w:rPr>
          <w:rFonts w:ascii="Calibri" w:hAnsi="Calibri" w:eastAsia="Calibri" w:cs="Calibri"/>
          <w:b/>
          <w:bCs/>
          <w:sz w:val="21"/>
          <w:szCs w:val="21"/>
        </w:rPr>
        <w:t xml:space="preserve">Closing price: </w:t>
      </w:r>
      <w:r>
        <w:rPr>
          <w:rFonts w:ascii="Calibri" w:hAnsi="Calibri" w:eastAsia="Calibri" w:cs="Calibri"/>
          <w:sz w:val="21"/>
          <w:szCs w:val="21"/>
        </w:rPr>
        <w:t>mean = 69.54, median = 30.06 and standard deviation = 66.78. The mean is more than double the median, so the distribution is strongly right-skewed — most days occurred at lower price levels while the later high-price years pull the average up.</w:t>
      </w:r>
    </w:p>
    <w:p w14:paraId="3AEFABAC">
      <w:pPr>
        <w:pStyle w:val="16"/>
        <w:numPr>
          <w:ilvl w:val="0"/>
          <w:numId w:val="1"/>
        </w:numPr>
        <w:spacing w:after="80" w:line="264" w:lineRule="auto"/>
        <w:jc w:val="both"/>
      </w:pPr>
      <w:r>
        <w:rPr>
          <w:rFonts w:ascii="Calibri" w:hAnsi="Calibri" w:eastAsia="Calibri" w:cs="Calibri"/>
          <w:b/>
          <w:bCs/>
          <w:sz w:val="21"/>
          <w:szCs w:val="21"/>
        </w:rPr>
        <w:t xml:space="preserve">Variability: </w:t>
      </w:r>
      <w:r>
        <w:rPr>
          <w:rFonts w:ascii="Calibri" w:hAnsi="Calibri" w:eastAsia="Calibri" w:cs="Calibri"/>
          <w:sz w:val="21"/>
          <w:szCs w:val="21"/>
        </w:rPr>
        <w:t>the standard deviation (66.78) is almost equal to the mean (69.54), giving a coefficient of variation of about 0.96. This reflects the very large price growth over the period rather than only day-to-day noise.</w:t>
      </w:r>
    </w:p>
    <w:p w14:paraId="2FF645BB">
      <w:pPr>
        <w:pStyle w:val="16"/>
        <w:numPr>
          <w:ilvl w:val="0"/>
          <w:numId w:val="1"/>
        </w:numPr>
        <w:spacing w:after="80" w:line="264" w:lineRule="auto"/>
        <w:jc w:val="both"/>
      </w:pPr>
      <w:r>
        <w:rPr>
          <w:rFonts w:ascii="Calibri" w:hAnsi="Calibri" w:eastAsia="Calibri" w:cs="Calibri"/>
          <w:b/>
          <w:bCs/>
          <w:sz w:val="21"/>
          <w:szCs w:val="21"/>
        </w:rPr>
        <w:t xml:space="preserve">Price range: </w:t>
      </w:r>
      <w:r>
        <w:rPr>
          <w:rFonts w:ascii="Calibri" w:hAnsi="Calibri" w:eastAsia="Calibri" w:cs="Calibri"/>
          <w:sz w:val="21"/>
          <w:szCs w:val="21"/>
        </w:rPr>
        <w:t>Close ranged from 4.89 to 235.47; the inter-quartile range is 15.32 (25%) to 126.28 (75%).</w:t>
      </w:r>
    </w:p>
    <w:p w14:paraId="16A69E05">
      <w:pPr>
        <w:pStyle w:val="16"/>
        <w:numPr>
          <w:ilvl w:val="0"/>
          <w:numId w:val="1"/>
        </w:numPr>
        <w:spacing w:after="80" w:line="264" w:lineRule="auto"/>
        <w:jc w:val="both"/>
      </w:pPr>
      <w:r>
        <w:rPr>
          <w:rFonts w:ascii="Calibri" w:hAnsi="Calibri" w:eastAsia="Calibri" w:cs="Calibri"/>
          <w:b/>
          <w:bCs/>
          <w:sz w:val="21"/>
          <w:szCs w:val="21"/>
        </w:rPr>
        <w:t xml:space="preserve">Volume: </w:t>
      </w:r>
      <w:r>
        <w:rPr>
          <w:rFonts w:ascii="Calibri" w:hAnsi="Calibri" w:eastAsia="Calibri" w:cs="Calibri"/>
          <w:sz w:val="21"/>
          <w:szCs w:val="21"/>
        </w:rPr>
        <w:t>mean 387.91 million and median 365.27 million shares (slightly right-skewed); standard deviation 198.87 million; range 65.53 million to 1,543.91 million.</w:t>
      </w:r>
    </w:p>
    <w:p w14:paraId="45984FE9">
      <w:pPr>
        <w:pStyle w:val="16"/>
        <w:numPr>
          <w:ilvl w:val="0"/>
          <w:numId w:val="1"/>
        </w:numPr>
        <w:spacing w:after="80" w:line="264" w:lineRule="auto"/>
        <w:jc w:val="both"/>
      </w:pPr>
      <w:r>
        <w:rPr>
          <w:rFonts w:ascii="Calibri" w:hAnsi="Calibri" w:eastAsia="Calibri" w:cs="Calibri"/>
          <w:b/>
          <w:bCs/>
          <w:sz w:val="21"/>
          <w:szCs w:val="21"/>
        </w:rPr>
        <w:t xml:space="preserve">Daily returns: </w:t>
      </w:r>
      <w:r>
        <w:rPr>
          <w:rFonts w:ascii="Calibri" w:hAnsi="Calibri" w:eastAsia="Calibri" w:cs="Calibri"/>
          <w:sz w:val="21"/>
          <w:szCs w:val="21"/>
        </w:rPr>
        <w:t>the histogram is symmetric around zero with fat tails; the largest observed daily gain is +24.37% (2023-05-25).</w:t>
      </w:r>
    </w:p>
    <w:p w14:paraId="66FE96CA">
      <w:pPr>
        <w:keepNext/>
        <w:spacing w:before="160" w:after="80"/>
      </w:pPr>
      <w:r>
        <w:rPr>
          <w:rFonts w:ascii="Calibri" w:hAnsi="Calibri" w:eastAsia="Calibri" w:cs="Calibri"/>
          <w:b/>
          <w:bCs/>
          <w:color w:val="1F4E79"/>
          <w:sz w:val="22"/>
          <w:szCs w:val="22"/>
        </w:rPr>
        <w:t>6.2 Frequency of signals</w:t>
      </w:r>
    </w:p>
    <w:p w14:paraId="66297F10">
      <w:pPr>
        <w:pStyle w:val="16"/>
        <w:numPr>
          <w:ilvl w:val="0"/>
          <w:numId w:val="1"/>
        </w:numPr>
        <w:spacing w:after="80" w:line="264" w:lineRule="auto"/>
        <w:jc w:val="both"/>
      </w:pPr>
      <w:r>
        <w:rPr>
          <w:rFonts w:ascii="Calibri" w:hAnsi="Calibri" w:eastAsia="Calibri" w:cs="Calibri"/>
          <w:sz w:val="21"/>
          <w:szCs w:val="21"/>
        </w:rPr>
        <w:t>EMA crossovers: 36 in total (18 bullish + 18 bearish) over 1,652 days, about one crossover every 46 trading days.</w:t>
      </w:r>
    </w:p>
    <w:p w14:paraId="2CDCDA79">
      <w:pPr>
        <w:pStyle w:val="16"/>
        <w:numPr>
          <w:ilvl w:val="0"/>
          <w:numId w:val="1"/>
        </w:numPr>
        <w:spacing w:after="80" w:line="264" w:lineRule="auto"/>
        <w:jc w:val="both"/>
      </w:pPr>
      <w:r>
        <w:rPr>
          <w:rFonts w:ascii="Calibri" w:hAnsi="Calibri" w:eastAsia="Calibri" w:cs="Calibri"/>
          <w:sz w:val="21"/>
          <w:szCs w:val="21"/>
        </w:rPr>
        <w:t>MACD crossovers: 132 in total (66 bullish + 66 bearish), about one every 12.5 trading days — nearly four times as frequent as EMA crossovers.</w:t>
      </w:r>
    </w:p>
    <w:p w14:paraId="1AF8A6B5">
      <w:pPr>
        <w:pStyle w:val="16"/>
        <w:numPr>
          <w:ilvl w:val="0"/>
          <w:numId w:val="1"/>
        </w:numPr>
        <w:spacing w:after="80" w:line="264" w:lineRule="auto"/>
        <w:jc w:val="both"/>
      </w:pPr>
      <w:r>
        <w:rPr>
          <w:rFonts w:ascii="Calibri" w:hAnsi="Calibri" w:eastAsia="Calibri" w:cs="Calibri"/>
          <w:sz w:val="21"/>
          <w:szCs w:val="21"/>
        </w:rPr>
        <w:t>Overall trend: Mixed/Weak 78.6%, Strong Bullish 17.1%, Strong Bearish 4.3% of all days; strong bullish days outnumber strong bearish days by about 4 to 1 (282 : 71).</w:t>
      </w:r>
    </w:p>
    <w:p w14:paraId="5EEAD081">
      <w:pPr>
        <w:pStyle w:val="16"/>
        <w:numPr>
          <w:ilvl w:val="0"/>
          <w:numId w:val="1"/>
        </w:numPr>
        <w:spacing w:after="80" w:line="264" w:lineRule="auto"/>
        <w:jc w:val="both"/>
      </w:pPr>
      <w:r>
        <w:rPr>
          <w:rFonts w:ascii="Calibri" w:hAnsi="Calibri" w:eastAsia="Calibri" w:cs="Calibri"/>
          <w:sz w:val="21"/>
          <w:szCs w:val="21"/>
        </w:rPr>
        <w:t>High-volume days are defined by the threshold 2 × 387.91 million = 775.82 million shares.</w:t>
      </w:r>
    </w:p>
    <w:p w14:paraId="42519013">
      <w:pPr>
        <w:keepNext/>
        <w:spacing w:before="160" w:after="80"/>
      </w:pPr>
      <w:r>
        <w:rPr>
          <w:rFonts w:ascii="Calibri" w:hAnsi="Calibri" w:eastAsia="Calibri" w:cs="Calibri"/>
          <w:b/>
          <w:bCs/>
          <w:color w:val="1F4E79"/>
          <w:sz w:val="22"/>
          <w:szCs w:val="22"/>
        </w:rPr>
        <w:t>6.3 Latest indicator snapshot (30 July 2026)</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200"/>
        <w:gridCol w:w="4406"/>
      </w:tblGrid>
      <w:tr w14:paraId="2602203D">
        <w:tblPrEx>
          <w:tblCellMar>
            <w:top w:w="0" w:type="dxa"/>
            <w:left w:w="10" w:type="dxa"/>
            <w:bottom w:w="0" w:type="dxa"/>
            <w:right w:w="10" w:type="dxa"/>
          </w:tblCellMar>
        </w:tblPrEx>
        <w:trPr>
          <w:tblHeader/>
        </w:trPr>
        <w:tc>
          <w:tcPr>
            <w:tcW w:w="33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0C7A9D5B">
            <w:pPr>
              <w:jc w:val="center"/>
            </w:pPr>
            <w:r>
              <w:rPr>
                <w:rFonts w:ascii="Calibri" w:hAnsi="Calibri" w:eastAsia="Calibri" w:cs="Calibri"/>
                <w:b/>
                <w:bCs/>
                <w:color w:val="FFFFFF"/>
                <w:sz w:val="19"/>
                <w:szCs w:val="19"/>
              </w:rPr>
              <w:t>Indicator</w:t>
            </w:r>
          </w:p>
        </w:tc>
        <w:tc>
          <w:tcPr>
            <w:tcW w:w="2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E08A9B0">
            <w:pPr>
              <w:jc w:val="center"/>
            </w:pPr>
            <w:r>
              <w:rPr>
                <w:rFonts w:ascii="Calibri" w:hAnsi="Calibri" w:eastAsia="Calibri" w:cs="Calibri"/>
                <w:b/>
                <w:bCs/>
                <w:color w:val="FFFFFF"/>
                <w:sz w:val="19"/>
                <w:szCs w:val="19"/>
              </w:rPr>
              <w:t>Value</w:t>
            </w:r>
          </w:p>
        </w:tc>
        <w:tc>
          <w:tcPr>
            <w:tcW w:w="44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04D6900D">
            <w:pPr>
              <w:jc w:val="center"/>
            </w:pPr>
            <w:r>
              <w:rPr>
                <w:rFonts w:ascii="Calibri" w:hAnsi="Calibri" w:eastAsia="Calibri" w:cs="Calibri"/>
                <w:b/>
                <w:bCs/>
                <w:color w:val="FFFFFF"/>
                <w:sz w:val="19"/>
                <w:szCs w:val="19"/>
              </w:rPr>
              <w:t>Reading</w:t>
            </w:r>
          </w:p>
        </w:tc>
      </w:tr>
      <w:tr w14:paraId="3FC6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BB09E4">
            <w:pPr>
              <w:jc w:val="left"/>
            </w:pPr>
            <w:r>
              <w:rPr>
                <w:rFonts w:ascii="Calibri" w:hAnsi="Calibri" w:eastAsia="Calibri" w:cs="Calibri"/>
                <w:b/>
                <w:bCs/>
                <w:sz w:val="19"/>
                <w:szCs w:val="19"/>
              </w:rPr>
              <w:t>Close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385F35">
            <w:pPr>
              <w:jc w:val="center"/>
            </w:pPr>
            <w:r>
              <w:rPr>
                <w:rFonts w:ascii="Calibri" w:hAnsi="Calibri" w:eastAsia="Calibri" w:cs="Calibri"/>
                <w:b w:val="0"/>
                <w:bCs w:val="0"/>
                <w:sz w:val="19"/>
                <w:szCs w:val="19"/>
              </w:rPr>
              <w:t>193.54</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5525EE8">
            <w:pPr>
              <w:jc w:val="left"/>
            </w:pPr>
            <w:r>
              <w:rPr>
                <w:rFonts w:ascii="Calibri" w:hAnsi="Calibri" w:eastAsia="Calibri" w:cs="Calibri"/>
                <w:b w:val="0"/>
                <w:bCs w:val="0"/>
                <w:sz w:val="19"/>
                <w:szCs w:val="19"/>
              </w:rPr>
              <w:t>Below both EMAs</w:t>
            </w:r>
          </w:p>
        </w:tc>
      </w:tr>
      <w:tr w14:paraId="75E3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F24BE5A">
            <w:pPr>
              <w:jc w:val="left"/>
            </w:pPr>
            <w:r>
              <w:rPr>
                <w:rFonts w:ascii="Calibri" w:hAnsi="Calibri" w:eastAsia="Calibri" w:cs="Calibri"/>
                <w:b/>
                <w:bCs/>
                <w:sz w:val="19"/>
                <w:szCs w:val="19"/>
              </w:rPr>
              <w:t>EMA 20 / EMA 50</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78BAEF">
            <w:pPr>
              <w:jc w:val="center"/>
            </w:pPr>
            <w:r>
              <w:rPr>
                <w:rFonts w:ascii="Calibri" w:hAnsi="Calibri" w:eastAsia="Calibri" w:cs="Calibri"/>
                <w:b w:val="0"/>
                <w:bCs w:val="0"/>
                <w:sz w:val="19"/>
                <w:szCs w:val="19"/>
              </w:rPr>
              <w:t>201.97 / 203.44</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94BAD2">
            <w:pPr>
              <w:jc w:val="left"/>
            </w:pPr>
            <w:r>
              <w:rPr>
                <w:rFonts w:ascii="Calibri" w:hAnsi="Calibri" w:eastAsia="Calibri" w:cs="Calibri"/>
                <w:b w:val="0"/>
                <w:bCs w:val="0"/>
                <w:sz w:val="19"/>
                <w:szCs w:val="19"/>
              </w:rPr>
              <w:t>EMA 20 &lt; EMA 50: Bearish trend</w:t>
            </w:r>
          </w:p>
        </w:tc>
      </w:tr>
      <w:tr w14:paraId="2603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887BE3">
            <w:pPr>
              <w:jc w:val="left"/>
            </w:pPr>
            <w:r>
              <w:rPr>
                <w:rFonts w:ascii="Calibri" w:hAnsi="Calibri" w:eastAsia="Calibri" w:cs="Calibri"/>
                <w:b/>
                <w:bCs/>
                <w:sz w:val="19"/>
                <w:szCs w:val="19"/>
              </w:rPr>
              <w:t>MACD / Signal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F26B586">
            <w:pPr>
              <w:jc w:val="center"/>
            </w:pPr>
            <w:r>
              <w:rPr>
                <w:rFonts w:ascii="Calibri" w:hAnsi="Calibri" w:eastAsia="Calibri" w:cs="Calibri"/>
                <w:b w:val="0"/>
                <w:bCs w:val="0"/>
                <w:sz w:val="19"/>
                <w:szCs w:val="19"/>
              </w:rPr>
              <w:t>−2.226 / −0.761</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4D31E4E">
            <w:pPr>
              <w:jc w:val="left"/>
            </w:pPr>
            <w:r>
              <w:rPr>
                <w:rFonts w:ascii="Calibri" w:hAnsi="Calibri" w:eastAsia="Calibri" w:cs="Calibri"/>
                <w:b w:val="0"/>
                <w:bCs w:val="0"/>
                <w:sz w:val="19"/>
                <w:szCs w:val="19"/>
              </w:rPr>
              <w:t>MACD below signal line</w:t>
            </w:r>
          </w:p>
        </w:tc>
      </w:tr>
      <w:tr w14:paraId="738E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D0AF72">
            <w:pPr>
              <w:jc w:val="left"/>
            </w:pPr>
            <w:r>
              <w:rPr>
                <w:rFonts w:ascii="Calibri" w:hAnsi="Calibri" w:eastAsia="Calibri" w:cs="Calibri"/>
                <w:b/>
                <w:bCs/>
                <w:sz w:val="19"/>
                <w:szCs w:val="19"/>
              </w:rPr>
              <w:t>MACD histogram</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0B63F50">
            <w:pPr>
              <w:jc w:val="center"/>
            </w:pPr>
            <w:r>
              <w:rPr>
                <w:rFonts w:ascii="Calibri" w:hAnsi="Calibri" w:eastAsia="Calibri" w:cs="Calibri"/>
                <w:b w:val="0"/>
                <w:bCs w:val="0"/>
                <w:sz w:val="19"/>
                <w:szCs w:val="19"/>
              </w:rPr>
              <w:t>−1.465</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0C081C">
            <w:pPr>
              <w:jc w:val="left"/>
            </w:pPr>
            <w:r>
              <w:rPr>
                <w:rFonts w:ascii="Calibri" w:hAnsi="Calibri" w:eastAsia="Calibri" w:cs="Calibri"/>
                <w:b w:val="0"/>
                <w:bCs w:val="0"/>
                <w:sz w:val="19"/>
                <w:szCs w:val="19"/>
              </w:rPr>
              <w:t>Negative and widening over the last four days</w:t>
            </w:r>
          </w:p>
        </w:tc>
      </w:tr>
      <w:tr w14:paraId="3D41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9A8DFC8">
            <w:pPr>
              <w:jc w:val="left"/>
            </w:pPr>
            <w:r>
              <w:rPr>
                <w:rFonts w:ascii="Calibri" w:hAnsi="Calibri" w:eastAsia="Calibri" w:cs="Calibri"/>
                <w:b/>
                <w:bCs/>
                <w:sz w:val="19"/>
                <w:szCs w:val="19"/>
              </w:rPr>
              <w:t>ADX</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ACF96B5">
            <w:pPr>
              <w:jc w:val="center"/>
            </w:pPr>
            <w:r>
              <w:rPr>
                <w:rFonts w:ascii="Calibri" w:hAnsi="Calibri" w:eastAsia="Calibri" w:cs="Calibri"/>
                <w:b w:val="0"/>
                <w:bCs w:val="0"/>
                <w:sz w:val="19"/>
                <w:szCs w:val="19"/>
              </w:rPr>
              <w:t>15.25</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07765F0">
            <w:pPr>
              <w:jc w:val="left"/>
            </w:pPr>
            <w:r>
              <w:rPr>
                <w:rFonts w:ascii="Calibri" w:hAnsi="Calibri" w:eastAsia="Calibri" w:cs="Calibri"/>
                <w:b w:val="0"/>
                <w:bCs w:val="0"/>
                <w:sz w:val="19"/>
                <w:szCs w:val="19"/>
              </w:rPr>
              <w:t>Below 20: weak or sideways trend</w:t>
            </w:r>
          </w:p>
        </w:tc>
      </w:tr>
      <w:tr w14:paraId="0DA2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AF5D46A">
            <w:pPr>
              <w:jc w:val="left"/>
            </w:pPr>
            <w:r>
              <w:rPr>
                <w:rFonts w:ascii="Calibri" w:hAnsi="Calibri" w:eastAsia="Calibri" w:cs="Calibri"/>
                <w:b/>
                <w:bCs/>
                <w:sz w:val="19"/>
                <w:szCs w:val="19"/>
              </w:rPr>
              <w:t>+DI / −DI</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DEC7C94">
            <w:pPr>
              <w:jc w:val="center"/>
            </w:pPr>
            <w:r>
              <w:rPr>
                <w:rFonts w:ascii="Calibri" w:hAnsi="Calibri" w:eastAsia="Calibri" w:cs="Calibri"/>
                <w:b w:val="0"/>
                <w:bCs w:val="0"/>
                <w:sz w:val="19"/>
                <w:szCs w:val="19"/>
              </w:rPr>
              <w:t>14.05 / 23.52</w:t>
            </w:r>
          </w:p>
        </w:tc>
        <w:tc>
          <w:tcPr>
            <w:tcW w:w="4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3B386FC">
            <w:pPr>
              <w:jc w:val="left"/>
            </w:pPr>
            <w:r>
              <w:rPr>
                <w:rFonts w:ascii="Calibri" w:hAnsi="Calibri" w:eastAsia="Calibri" w:cs="Calibri"/>
                <w:b w:val="0"/>
                <w:bCs w:val="0"/>
                <w:sz w:val="19"/>
                <w:szCs w:val="19"/>
              </w:rPr>
              <w:t>−DI above +DI: sellers dominate direction</w:t>
            </w:r>
          </w:p>
        </w:tc>
      </w:tr>
    </w:tbl>
    <w:p w14:paraId="79970051">
      <w:pPr>
        <w:spacing w:after="80"/>
      </w:pPr>
    </w:p>
    <w:p w14:paraId="65C9835A">
      <w:pPr>
        <w:spacing w:after="120" w:line="264" w:lineRule="auto"/>
        <w:jc w:val="both"/>
      </w:pPr>
      <w:r>
        <w:rPr>
          <w:rFonts w:ascii="Calibri" w:hAnsi="Calibri" w:eastAsia="Calibri" w:cs="Calibri"/>
          <w:sz w:val="21"/>
          <w:szCs w:val="21"/>
        </w:rPr>
        <w:t>Because ADX (15.25) is below 25, the classification rule would label the latest day as Mixed/Weak even though the directional indicators lean bearish. ADX guidelines are rules of thumb and not guaranteed trading signals.</w:t>
      </w:r>
    </w:p>
    <w:p w14:paraId="1A00D942">
      <w:pPr>
        <w:keepNext/>
        <w:spacing w:before="160" w:after="80"/>
      </w:pPr>
      <w:r>
        <w:rPr>
          <w:rFonts w:ascii="Calibri" w:hAnsi="Calibri" w:eastAsia="Calibri" w:cs="Calibri"/>
          <w:b/>
          <w:bCs/>
          <w:color w:val="1F4E79"/>
          <w:sz w:val="22"/>
          <w:szCs w:val="22"/>
        </w:rPr>
        <w:t>6.4 Correlation analysis</w:t>
      </w:r>
    </w:p>
    <w:p w14:paraId="0FDD7155">
      <w:pPr>
        <w:spacing w:after="120" w:line="264" w:lineRule="auto"/>
        <w:jc w:val="both"/>
      </w:pPr>
      <w:r>
        <w:rPr>
          <w:rFonts w:ascii="Calibri" w:hAnsi="Calibri" w:eastAsia="Calibri" w:cs="Calibri"/>
          <w:sz w:val="21"/>
          <w:szCs w:val="21"/>
        </w:rPr>
        <w:t>Pearson correlation coefficients were calculated for Open, High, Low, Close, Volume, Daily Return, MACD, ADX, +DI and −DI and displayed as a heatmap (Figure 9). The main results are summarised below.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5406"/>
      </w:tblGrid>
      <w:tr w14:paraId="093A8820">
        <w:tblPrEx>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08073EE">
            <w:pPr>
              <w:jc w:val="center"/>
            </w:pPr>
            <w:r>
              <w:rPr>
                <w:rFonts w:ascii="Calibri" w:hAnsi="Calibri" w:eastAsia="Calibri" w:cs="Calibri"/>
                <w:b/>
                <w:bCs/>
                <w:color w:val="FFFFFF"/>
                <w:sz w:val="19"/>
                <w:szCs w:val="19"/>
              </w:rPr>
              <w:t>Variable pair</w:t>
            </w:r>
          </w:p>
        </w:tc>
        <w:tc>
          <w:tcPr>
            <w:tcW w:w="15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6DDAD46F">
            <w:pPr>
              <w:jc w:val="center"/>
            </w:pPr>
            <w:r>
              <w:rPr>
                <w:rFonts w:ascii="Calibri" w:hAnsi="Calibri" w:eastAsia="Calibri" w:cs="Calibri"/>
                <w:b/>
                <w:bCs/>
                <w:color w:val="FFFFFF"/>
                <w:sz w:val="19"/>
                <w:szCs w:val="19"/>
              </w:rPr>
              <w:t>Correlation</w:t>
            </w:r>
          </w:p>
        </w:tc>
        <w:tc>
          <w:tcPr>
            <w:tcW w:w="54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2BE5979">
            <w:pPr>
              <w:jc w:val="center"/>
            </w:pPr>
            <w:r>
              <w:rPr>
                <w:rFonts w:ascii="Calibri" w:hAnsi="Calibri" w:eastAsia="Calibri" w:cs="Calibri"/>
                <w:b/>
                <w:bCs/>
                <w:color w:val="FFFFFF"/>
                <w:sz w:val="19"/>
                <w:szCs w:val="19"/>
              </w:rPr>
              <w:t>Interpretation</w:t>
            </w:r>
          </w:p>
        </w:tc>
      </w:tr>
      <w:tr w14:paraId="19C9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640E24A">
            <w:pPr>
              <w:jc w:val="left"/>
            </w:pPr>
            <w:r>
              <w:rPr>
                <w:rFonts w:ascii="Calibri" w:hAnsi="Calibri" w:eastAsia="Calibri" w:cs="Calibri"/>
                <w:b/>
                <w:bCs/>
                <w:sz w:val="19"/>
                <w:szCs w:val="19"/>
              </w:rPr>
              <w:t>Open / High / Low / Close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E78206E">
            <w:pPr>
              <w:jc w:val="center"/>
            </w:pPr>
            <w:r>
              <w:rPr>
                <w:rFonts w:ascii="Calibri" w:hAnsi="Calibri" w:eastAsia="Calibri" w:cs="Calibri"/>
                <w:b w:val="0"/>
                <w:bCs w:val="0"/>
                <w:sz w:val="19"/>
                <w:szCs w:val="19"/>
              </w:rPr>
              <w:t>1.00</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DF1FAF8">
            <w:pPr>
              <w:jc w:val="left"/>
            </w:pPr>
            <w:r>
              <w:rPr>
                <w:rFonts w:ascii="Calibri" w:hAnsi="Calibri" w:eastAsia="Calibri" w:cs="Calibri"/>
                <w:b w:val="0"/>
                <w:bCs w:val="0"/>
                <w:sz w:val="19"/>
                <w:szCs w:val="19"/>
              </w:rPr>
              <w:t>Prices move together within a day, so these columns carry almost the same information</w:t>
            </w:r>
          </w:p>
        </w:tc>
      </w:tr>
      <w:tr w14:paraId="5BE8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F5FD8B2">
            <w:pPr>
              <w:jc w:val="left"/>
            </w:pPr>
            <w:r>
              <w:rPr>
                <w:rFonts w:ascii="Calibri" w:hAnsi="Calibri" w:eastAsia="Calibri" w:cs="Calibri"/>
                <w:b/>
                <w:bCs/>
                <w:sz w:val="19"/>
                <w:szCs w:val="19"/>
              </w:rPr>
              <w:t>Close and Volume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BDA21B7">
            <w:pPr>
              <w:jc w:val="center"/>
            </w:pPr>
            <w:r>
              <w:rPr>
                <w:rFonts w:ascii="Calibri" w:hAnsi="Calibri" w:eastAsia="Calibri" w:cs="Calibri"/>
                <w:b w:val="0"/>
                <w:bCs w:val="0"/>
                <w:sz w:val="19"/>
                <w:szCs w:val="19"/>
              </w:rPr>
              <w:t>−0.57</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D64EC5">
            <w:pPr>
              <w:jc w:val="left"/>
            </w:pPr>
            <w:r>
              <w:rPr>
                <w:rFonts w:ascii="Calibri" w:hAnsi="Calibri" w:eastAsia="Calibri" w:cs="Calibri"/>
                <w:b w:val="0"/>
                <w:bCs w:val="0"/>
                <w:sz w:val="19"/>
                <w:szCs w:val="19"/>
              </w:rPr>
              <w:t>Moderate negative: volume was higher when prices were lower (earlier years)</w:t>
            </w:r>
          </w:p>
        </w:tc>
      </w:tr>
      <w:tr w14:paraId="2BA7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D645FB">
            <w:pPr>
              <w:jc w:val="left"/>
            </w:pPr>
            <w:r>
              <w:rPr>
                <w:rFonts w:ascii="Calibri" w:hAnsi="Calibri" w:eastAsia="Calibri" w:cs="Calibri"/>
                <w:b/>
                <w:bCs/>
                <w:sz w:val="19"/>
                <w:szCs w:val="19"/>
              </w:rPr>
              <w:t>Close and Daily Return</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DE67F05">
            <w:pPr>
              <w:jc w:val="center"/>
            </w:pPr>
            <w:r>
              <w:rPr>
                <w:rFonts w:ascii="Calibri" w:hAnsi="Calibri" w:eastAsia="Calibri" w:cs="Calibri"/>
                <w:b w:val="0"/>
                <w:bCs w:val="0"/>
                <w:sz w:val="19"/>
                <w:szCs w:val="19"/>
              </w:rPr>
              <w:t>−0.00</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222CA17">
            <w:pPr>
              <w:jc w:val="left"/>
            </w:pPr>
            <w:r>
              <w:rPr>
                <w:rFonts w:ascii="Calibri" w:hAnsi="Calibri" w:eastAsia="Calibri" w:cs="Calibri"/>
                <w:b w:val="0"/>
                <w:bCs w:val="0"/>
                <w:sz w:val="19"/>
                <w:szCs w:val="19"/>
              </w:rPr>
              <w:t>No relationship between the price level and the size of daily moves</w:t>
            </w:r>
          </w:p>
        </w:tc>
      </w:tr>
      <w:tr w14:paraId="49E1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BB62AE">
            <w:pPr>
              <w:jc w:val="left"/>
            </w:pPr>
            <w:r>
              <w:rPr>
                <w:rFonts w:ascii="Calibri" w:hAnsi="Calibri" w:eastAsia="Calibri" w:cs="Calibri"/>
                <w:b/>
                <w:bCs/>
                <w:sz w:val="19"/>
                <w:szCs w:val="19"/>
              </w:rPr>
              <w:t>Close and MACD</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85C1FC6">
            <w:pPr>
              <w:jc w:val="center"/>
            </w:pPr>
            <w:r>
              <w:rPr>
                <w:rFonts w:ascii="Calibri" w:hAnsi="Calibri" w:eastAsia="Calibri" w:cs="Calibri"/>
                <w:b w:val="0"/>
                <w:bCs w:val="0"/>
                <w:sz w:val="19"/>
                <w:szCs w:val="19"/>
              </w:rPr>
              <w:t>0.30</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C35DA8">
            <w:pPr>
              <w:jc w:val="left"/>
            </w:pPr>
            <w:r>
              <w:rPr>
                <w:rFonts w:ascii="Calibri" w:hAnsi="Calibri" w:eastAsia="Calibri" w:cs="Calibri"/>
                <w:b w:val="0"/>
                <w:bCs w:val="0"/>
                <w:sz w:val="19"/>
                <w:szCs w:val="19"/>
              </w:rPr>
              <w:t>Weak positive relationship</w:t>
            </w:r>
          </w:p>
        </w:tc>
      </w:tr>
      <w:tr w14:paraId="1BE9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3BAC25C">
            <w:pPr>
              <w:jc w:val="left"/>
            </w:pPr>
            <w:r>
              <w:rPr>
                <w:rFonts w:ascii="Calibri" w:hAnsi="Calibri" w:eastAsia="Calibri" w:cs="Calibri"/>
                <w:b/>
                <w:bCs/>
                <w:sz w:val="19"/>
                <w:szCs w:val="19"/>
              </w:rPr>
              <w:t>MACD and +DI</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27F01DF">
            <w:pPr>
              <w:jc w:val="center"/>
            </w:pPr>
            <w:r>
              <w:rPr>
                <w:rFonts w:ascii="Calibri" w:hAnsi="Calibri" w:eastAsia="Calibri" w:cs="Calibri"/>
                <w:b w:val="0"/>
                <w:bCs w:val="0"/>
                <w:sz w:val="19"/>
                <w:szCs w:val="19"/>
              </w:rPr>
              <w:t>0.60</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956CAE">
            <w:pPr>
              <w:jc w:val="left"/>
            </w:pPr>
            <w:r>
              <w:rPr>
                <w:rFonts w:ascii="Calibri" w:hAnsi="Calibri" w:eastAsia="Calibri" w:cs="Calibri"/>
                <w:b w:val="0"/>
                <w:bCs w:val="0"/>
                <w:sz w:val="19"/>
                <w:szCs w:val="19"/>
              </w:rPr>
              <w:t>Momentum rises together with positive directional movement</w:t>
            </w:r>
          </w:p>
        </w:tc>
      </w:tr>
      <w:tr w14:paraId="2F9D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105685">
            <w:pPr>
              <w:jc w:val="left"/>
            </w:pPr>
            <w:r>
              <w:rPr>
                <w:rFonts w:ascii="Calibri" w:hAnsi="Calibri" w:eastAsia="Calibri" w:cs="Calibri"/>
                <w:b/>
                <w:bCs/>
                <w:sz w:val="19"/>
                <w:szCs w:val="19"/>
              </w:rPr>
              <w:t>MACD and −DI</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1BCF5EF">
            <w:pPr>
              <w:jc w:val="center"/>
            </w:pPr>
            <w:r>
              <w:rPr>
                <w:rFonts w:ascii="Calibri" w:hAnsi="Calibri" w:eastAsia="Calibri" w:cs="Calibri"/>
                <w:b w:val="0"/>
                <w:bCs w:val="0"/>
                <w:sz w:val="19"/>
                <w:szCs w:val="19"/>
              </w:rPr>
              <w:t>−0.56</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E52E5E">
            <w:pPr>
              <w:jc w:val="left"/>
            </w:pPr>
            <w:r>
              <w:rPr>
                <w:rFonts w:ascii="Calibri" w:hAnsi="Calibri" w:eastAsia="Calibri" w:cs="Calibri"/>
                <w:b w:val="0"/>
                <w:bCs w:val="0"/>
                <w:sz w:val="19"/>
                <w:szCs w:val="19"/>
              </w:rPr>
              <w:t>Momentum falls when negative directional movement rises</w:t>
            </w:r>
          </w:p>
        </w:tc>
      </w:tr>
      <w:tr w14:paraId="17A3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3F4DE79">
            <w:pPr>
              <w:jc w:val="left"/>
            </w:pPr>
            <w:r>
              <w:rPr>
                <w:rFonts w:ascii="Calibri" w:hAnsi="Calibri" w:eastAsia="Calibri" w:cs="Calibri"/>
                <w:b/>
                <w:bCs/>
                <w:sz w:val="19"/>
                <w:szCs w:val="19"/>
              </w:rPr>
              <w:t>+DI and −DI</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61485A4">
            <w:pPr>
              <w:jc w:val="center"/>
            </w:pPr>
            <w:r>
              <w:rPr>
                <w:rFonts w:ascii="Calibri" w:hAnsi="Calibri" w:eastAsia="Calibri" w:cs="Calibri"/>
                <w:b w:val="0"/>
                <w:bCs w:val="0"/>
                <w:sz w:val="19"/>
                <w:szCs w:val="19"/>
              </w:rPr>
              <w:t>−0.65</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DE5A6A">
            <w:pPr>
              <w:jc w:val="left"/>
            </w:pPr>
            <w:r>
              <w:rPr>
                <w:rFonts w:ascii="Calibri" w:hAnsi="Calibri" w:eastAsia="Calibri" w:cs="Calibri"/>
                <w:b w:val="0"/>
                <w:bCs w:val="0"/>
                <w:sz w:val="19"/>
                <w:szCs w:val="19"/>
              </w:rPr>
              <w:t>The two directional indicators tend to move in opposite directions</w:t>
            </w:r>
          </w:p>
        </w:tc>
      </w:tr>
      <w:tr w14:paraId="358C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E36AC6">
            <w:pPr>
              <w:jc w:val="left"/>
            </w:pPr>
            <w:r>
              <w:rPr>
                <w:rFonts w:ascii="Calibri" w:hAnsi="Calibri" w:eastAsia="Calibri" w:cs="Calibri"/>
                <w:b/>
                <w:bCs/>
                <w:sz w:val="19"/>
                <w:szCs w:val="19"/>
              </w:rPr>
              <w:t>ADX and Volume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2E5C144">
            <w:pPr>
              <w:jc w:val="center"/>
            </w:pPr>
            <w:r>
              <w:rPr>
                <w:rFonts w:ascii="Calibri" w:hAnsi="Calibri" w:eastAsia="Calibri" w:cs="Calibri"/>
                <w:b w:val="0"/>
                <w:bCs w:val="0"/>
                <w:sz w:val="19"/>
                <w:szCs w:val="19"/>
              </w:rPr>
              <w:t>0.29</w:t>
            </w:r>
          </w:p>
        </w:tc>
        <w:tc>
          <w:tcPr>
            <w:tcW w:w="54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302D9DB">
            <w:pPr>
              <w:jc w:val="left"/>
            </w:pPr>
            <w:r>
              <w:rPr>
                <w:rFonts w:ascii="Calibri" w:hAnsi="Calibri" w:eastAsia="Calibri" w:cs="Calibri"/>
                <w:b w:val="0"/>
                <w:bCs w:val="0"/>
                <w:sz w:val="19"/>
                <w:szCs w:val="19"/>
              </w:rPr>
              <w:t>Weak positive: stronger trends tend to occur with higher volume</w:t>
            </w:r>
          </w:p>
        </w:tc>
      </w:tr>
    </w:tbl>
    <w:p w14:paraId="5921AF1C">
      <w:pPr>
        <w:spacing w:after="80"/>
      </w:pPr>
    </w:p>
    <w:p w14:paraId="6F09A297">
      <w:pPr>
        <w:spacing w:after="120" w:line="264" w:lineRule="auto"/>
        <w:jc w:val="both"/>
      </w:pPr>
      <w:r>
        <w:rPr>
          <w:rFonts w:ascii="Calibri" w:hAnsi="Calibri" w:eastAsia="Calibri" w:cs="Calibri"/>
          <w:sz w:val="21"/>
          <w:szCs w:val="21"/>
        </w:rPr>
        <w:t>Correlation measures how two variables move together and does not prove that one causes the other. The very high correlation between Open, High, Low and Close is expected for price data and should not be treated as an independent finding.</w:t>
      </w:r>
    </w:p>
    <w:p w14:paraId="190A3EB6">
      <w:pPr>
        <w:pStyle w:val="2"/>
        <w:keepNext/>
        <w:shd w:val="clear" w:fill="DDEBF7"/>
        <w:spacing w:before="320" w:after="160"/>
      </w:pPr>
      <w:r>
        <w:rPr>
          <w:rFonts w:ascii="Calibri" w:hAnsi="Calibri" w:eastAsia="Calibri" w:cs="Calibri"/>
          <w:b/>
          <w:bCs/>
          <w:color w:val="1F4E79"/>
          <w:sz w:val="26"/>
          <w:szCs w:val="26"/>
        </w:rPr>
        <w:t>7. Key Insights &amp; Interpretation</w:t>
      </w:r>
    </w:p>
    <w:p w14:paraId="62702EA1">
      <w:pPr>
        <w:pStyle w:val="16"/>
        <w:numPr>
          <w:ilvl w:val="0"/>
          <w:numId w:val="2"/>
        </w:numPr>
        <w:spacing w:after="110" w:line="264" w:lineRule="auto"/>
        <w:jc w:val="both"/>
      </w:pPr>
      <w:r>
        <w:rPr>
          <w:rFonts w:ascii="Calibri" w:hAnsi="Calibri" w:eastAsia="Calibri" w:cs="Calibri"/>
          <w:b/>
          <w:bCs/>
          <w:sz w:val="21"/>
          <w:szCs w:val="21"/>
        </w:rPr>
        <w:t xml:space="preserve">1. </w:t>
      </w:r>
      <w:r>
        <w:rPr>
          <w:rFonts w:ascii="Calibri" w:hAnsi="Calibri" w:eastAsia="Calibri" w:cs="Calibri"/>
          <w:sz w:val="21"/>
          <w:szCs w:val="21"/>
        </w:rPr>
        <w:t>Strong long-term uptrend: the closing price rose from 5.96 USD on 2 January 2020 to 193.54 USD on 30 July 2026 (about 32 times), after peaking at 235.47 USD. The growth accelerated from 2024 and was interrupted by corrections in 2022 and early 2025.</w:t>
      </w:r>
    </w:p>
    <w:p w14:paraId="775B1F83">
      <w:pPr>
        <w:pStyle w:val="16"/>
        <w:numPr>
          <w:ilvl w:val="0"/>
          <w:numId w:val="2"/>
        </w:numPr>
        <w:spacing w:after="110" w:line="264" w:lineRule="auto"/>
        <w:jc w:val="both"/>
      </w:pPr>
      <w:r>
        <w:rPr>
          <w:rFonts w:ascii="Calibri" w:hAnsi="Calibri" w:eastAsia="Calibri" w:cs="Calibri"/>
          <w:b/>
          <w:bCs/>
          <w:sz w:val="21"/>
          <w:szCs w:val="21"/>
        </w:rPr>
        <w:t xml:space="preserve">2. </w:t>
      </w:r>
      <w:r>
        <w:rPr>
          <w:rFonts w:ascii="Calibri" w:hAnsi="Calibri" w:eastAsia="Calibri" w:cs="Calibri"/>
          <w:sz w:val="21"/>
          <w:szCs w:val="21"/>
        </w:rPr>
        <w:t>Confirmed trends are uncommon: 78.6% of days are Mixed/Weak, meaning that all four conditions (EMA, MACD, ADX and DI) agree on only about one day in five. Requiring several indicators to agree filters out noise but also reduces the number of signals.</w:t>
      </w:r>
    </w:p>
    <w:p w14:paraId="2646B3FC">
      <w:pPr>
        <w:pStyle w:val="16"/>
        <w:numPr>
          <w:ilvl w:val="0"/>
          <w:numId w:val="2"/>
        </w:numPr>
        <w:spacing w:after="110" w:line="264" w:lineRule="auto"/>
        <w:jc w:val="both"/>
      </w:pPr>
      <w:r>
        <w:rPr>
          <w:rFonts w:ascii="Calibri" w:hAnsi="Calibri" w:eastAsia="Calibri" w:cs="Calibri"/>
          <w:b/>
          <w:bCs/>
          <w:sz w:val="21"/>
          <w:szCs w:val="21"/>
        </w:rPr>
        <w:t xml:space="preserve">3. </w:t>
      </w:r>
      <w:r>
        <w:rPr>
          <w:rFonts w:ascii="Calibri" w:hAnsi="Calibri" w:eastAsia="Calibri" w:cs="Calibri"/>
          <w:sz w:val="21"/>
          <w:szCs w:val="21"/>
        </w:rPr>
        <w:t>Bullish confirmation dominates: Strong Bullish days (282) are about four times as many as Strong Bearish days (71), consistent with NVDA’s overall upward path during the period.</w:t>
      </w:r>
    </w:p>
    <w:p w14:paraId="1BD6D98F">
      <w:pPr>
        <w:pStyle w:val="16"/>
        <w:numPr>
          <w:ilvl w:val="0"/>
          <w:numId w:val="2"/>
        </w:numPr>
        <w:spacing w:after="110" w:line="264" w:lineRule="auto"/>
        <w:jc w:val="both"/>
      </w:pPr>
      <w:r>
        <w:rPr>
          <w:rFonts w:ascii="Calibri" w:hAnsi="Calibri" w:eastAsia="Calibri" w:cs="Calibri"/>
          <w:b/>
          <w:bCs/>
          <w:sz w:val="21"/>
          <w:szCs w:val="21"/>
        </w:rPr>
        <w:t xml:space="preserve">4. </w:t>
      </w:r>
      <w:r>
        <w:rPr>
          <w:rFonts w:ascii="Calibri" w:hAnsi="Calibri" w:eastAsia="Calibri" w:cs="Calibri"/>
          <w:sz w:val="21"/>
          <w:szCs w:val="21"/>
        </w:rPr>
        <w:t>Indicators differ in speed: MACD produced 66 crossovers of each type against 18 for EMA 20/50, so MACD is more sensitive but gives more frequent, possibly false, signals while EMA crossovers are slower and rarer. Since moving averages lag price, a crossover can occur after a move has already begun.</w:t>
      </w:r>
    </w:p>
    <w:p w14:paraId="28C57A9C">
      <w:pPr>
        <w:pStyle w:val="16"/>
        <w:numPr>
          <w:ilvl w:val="0"/>
          <w:numId w:val="2"/>
        </w:numPr>
        <w:spacing w:after="110" w:line="264" w:lineRule="auto"/>
        <w:jc w:val="both"/>
      </w:pPr>
      <w:r>
        <w:rPr>
          <w:rFonts w:ascii="Calibri" w:hAnsi="Calibri" w:eastAsia="Calibri" w:cs="Calibri"/>
          <w:b/>
          <w:bCs/>
          <w:sz w:val="21"/>
          <w:szCs w:val="21"/>
        </w:rPr>
        <w:t xml:space="preserve">5. </w:t>
      </w:r>
      <w:r>
        <w:rPr>
          <w:rFonts w:ascii="Calibri" w:hAnsi="Calibri" w:eastAsia="Calibri" w:cs="Calibri"/>
          <w:sz w:val="21"/>
          <w:szCs w:val="21"/>
        </w:rPr>
        <w:t>Current position is a weak pullback: short-term indicators are bearish (EMA 20 below EMA 50 since 28 July 2026, negative and widening MACD histogram, −DI above +DI), but ADX of 15.25 shows the downward trend is not yet strong. This suggests a pullback or consolidation rather than a confirmed downtrend.</w:t>
      </w:r>
    </w:p>
    <w:p w14:paraId="6D69D8B0">
      <w:pPr>
        <w:pStyle w:val="16"/>
        <w:numPr>
          <w:ilvl w:val="0"/>
          <w:numId w:val="2"/>
        </w:numPr>
        <w:spacing w:after="110" w:line="264" w:lineRule="auto"/>
        <w:jc w:val="both"/>
      </w:pPr>
      <w:r>
        <w:rPr>
          <w:rFonts w:ascii="Calibri" w:hAnsi="Calibri" w:eastAsia="Calibri" w:cs="Calibri"/>
          <w:b/>
          <w:bCs/>
          <w:sz w:val="21"/>
          <w:szCs w:val="21"/>
        </w:rPr>
        <w:t xml:space="preserve">6. </w:t>
      </w:r>
      <w:r>
        <w:rPr>
          <w:rFonts w:ascii="Calibri" w:hAnsi="Calibri" w:eastAsia="Calibri" w:cs="Calibri"/>
          <w:sz w:val="21"/>
          <w:szCs w:val="21"/>
        </w:rPr>
        <w:t>Volume reveals participation: the largest volume (1.54 billion shares on 2023-05-25) coincided with the biggest daily gain (+24.37%) and a very strong ADX of 38.01, supporting the idea that big moves are backed by heavy participation. Volume has been lower since 2025, even as prices reached new highs; this was observed in the data but its cause was not analysed.</w:t>
      </w:r>
    </w:p>
    <w:p w14:paraId="4AFADCCA">
      <w:pPr>
        <w:pStyle w:val="16"/>
        <w:numPr>
          <w:ilvl w:val="0"/>
          <w:numId w:val="2"/>
        </w:numPr>
        <w:spacing w:after="110" w:line="264" w:lineRule="auto"/>
        <w:jc w:val="both"/>
      </w:pPr>
      <w:r>
        <w:rPr>
          <w:rFonts w:ascii="Calibri" w:hAnsi="Calibri" w:eastAsia="Calibri" w:cs="Calibri"/>
          <w:b/>
          <w:bCs/>
          <w:sz w:val="21"/>
          <w:szCs w:val="21"/>
        </w:rPr>
        <w:t xml:space="preserve">7. </w:t>
      </w:r>
      <w:r>
        <w:rPr>
          <w:rFonts w:ascii="Calibri" w:hAnsi="Calibri" w:eastAsia="Calibri" w:cs="Calibri"/>
          <w:sz w:val="21"/>
          <w:szCs w:val="21"/>
        </w:rPr>
        <w:t>Correlation view: price and volume are moderately negatively correlated (−0.57), while MACD, +DI and −DI are strongly related to each other (0.60 and −0.56 for MACD; −0.65 between +DI and −DI). This shows that the momentum and directional indicators largely confirm one another, but daily returns are almost unrelated to the price level (−0.00).</w:t>
      </w:r>
    </w:p>
    <w:p w14:paraId="1CA45944">
      <w:pPr>
        <w:pStyle w:val="2"/>
        <w:keepNext/>
        <w:shd w:val="clear" w:fill="DDEBF7"/>
        <w:spacing w:before="320" w:after="160"/>
      </w:pPr>
      <w:r>
        <w:rPr>
          <w:rFonts w:ascii="Calibri" w:hAnsi="Calibri" w:eastAsia="Calibri" w:cs="Calibri"/>
          <w:b/>
          <w:bCs/>
          <w:color w:val="1F4E79"/>
          <w:sz w:val="26"/>
          <w:szCs w:val="26"/>
        </w:rPr>
        <w:t>8. Conclusion &amp; Future Scope</w:t>
      </w:r>
    </w:p>
    <w:p w14:paraId="12362208">
      <w:pPr>
        <w:spacing w:after="120" w:line="264" w:lineRule="auto"/>
        <w:jc w:val="both"/>
      </w:pPr>
      <w:r>
        <w:rPr>
          <w:rFonts w:ascii="Calibri" w:hAnsi="Calibri" w:eastAsia="Calibri" w:cs="Calibri"/>
          <w:sz w:val="21"/>
          <w:szCs w:val="21"/>
        </w:rPr>
        <w:t>This project successfully applied Python-based data cleaning, exploratory analysis, technical indicators and visualization to six and a half years of NVIDIA stock data. The Yahoo Finance data was cleaned and validated (1,652 records, no missing values, no duplicates, no invalid prices) and then analysed using EMA 20/50, MACD, ADX with +DI/−DI and volume. The analysis shows that NVDA has been in a pronounced long-term uptrend, that confirmed strong trends are relatively rare (about 21% of days, mostly bullish), and that as of 30 July 2026 the short-term indicators are bearish while trend strength is weak. The rule-based classification makes the trend easy to read, but it describes the past and should be treated as decision support rather than a prediction or investment advice.</w:t>
      </w:r>
    </w:p>
    <w:p w14:paraId="1047B1CA">
      <w:pPr>
        <w:keepNext/>
        <w:spacing w:before="160" w:after="80"/>
      </w:pPr>
      <w:r>
        <w:rPr>
          <w:rFonts w:ascii="Calibri" w:hAnsi="Calibri" w:eastAsia="Calibri" w:cs="Calibri"/>
          <w:b/>
          <w:bCs/>
          <w:color w:val="1F4E79"/>
          <w:sz w:val="22"/>
          <w:szCs w:val="22"/>
        </w:rPr>
        <w:t>Future scope</w:t>
      </w:r>
    </w:p>
    <w:p w14:paraId="55584A86">
      <w:pPr>
        <w:pStyle w:val="16"/>
        <w:numPr>
          <w:ilvl w:val="0"/>
          <w:numId w:val="1"/>
        </w:numPr>
        <w:spacing w:after="80" w:line="264" w:lineRule="auto"/>
        <w:jc w:val="both"/>
      </w:pPr>
      <w:r>
        <w:rPr>
          <w:rFonts w:ascii="Calibri" w:hAnsi="Calibri" w:eastAsia="Calibri" w:cs="Calibri"/>
          <w:sz w:val="21"/>
          <w:szCs w:val="21"/>
        </w:rPr>
        <w:t>Add the remaining techniques listed in the synopsis — Price Action (swing highs/lows) and On-Balance Volume (OBV) — to further confirm trends.</w:t>
      </w:r>
    </w:p>
    <w:p w14:paraId="1729CEFC">
      <w:pPr>
        <w:pStyle w:val="16"/>
        <w:numPr>
          <w:ilvl w:val="0"/>
          <w:numId w:val="1"/>
        </w:numPr>
        <w:spacing w:after="80" w:line="264" w:lineRule="auto"/>
        <w:jc w:val="both"/>
      </w:pPr>
      <w:r>
        <w:rPr>
          <w:rFonts w:ascii="Calibri" w:hAnsi="Calibri" w:eastAsia="Calibri" w:cs="Calibri"/>
          <w:sz w:val="21"/>
          <w:szCs w:val="21"/>
        </w:rPr>
        <w:t>Back-test the EMA and MACD crossover signals to measure how often they led to profitable moves, and tune the indicator periods.</w:t>
      </w:r>
    </w:p>
    <w:p w14:paraId="23C45A44">
      <w:pPr>
        <w:pStyle w:val="16"/>
        <w:numPr>
          <w:ilvl w:val="0"/>
          <w:numId w:val="1"/>
        </w:numPr>
        <w:spacing w:after="80" w:line="264" w:lineRule="auto"/>
        <w:jc w:val="both"/>
      </w:pPr>
      <w:r>
        <w:rPr>
          <w:rFonts w:ascii="Calibri" w:hAnsi="Calibri" w:eastAsia="Calibri" w:cs="Calibri"/>
          <w:sz w:val="21"/>
          <w:szCs w:val="21"/>
        </w:rPr>
        <w:t>Build interactive dashboards using Plotly so users can explore periods and indicators.</w:t>
      </w:r>
    </w:p>
    <w:p w14:paraId="05DDA4C1">
      <w:pPr>
        <w:pStyle w:val="16"/>
        <w:numPr>
          <w:ilvl w:val="0"/>
          <w:numId w:val="1"/>
        </w:numPr>
        <w:spacing w:after="80" w:line="264" w:lineRule="auto"/>
        <w:jc w:val="both"/>
      </w:pPr>
      <w:r>
        <w:rPr>
          <w:rFonts w:ascii="Calibri" w:hAnsi="Calibri" w:eastAsia="Calibri" w:cs="Calibri"/>
          <w:sz w:val="21"/>
          <w:szCs w:val="21"/>
        </w:rPr>
        <w:t>Extend the analysis to several stocks or sector indices for comparison, and add volatility measures.</w:t>
      </w:r>
    </w:p>
    <w:p w14:paraId="7126E012">
      <w:pPr>
        <w:pStyle w:val="16"/>
        <w:numPr>
          <w:ilvl w:val="0"/>
          <w:numId w:val="1"/>
        </w:numPr>
        <w:spacing w:after="80" w:line="264" w:lineRule="auto"/>
        <w:jc w:val="both"/>
      </w:pPr>
      <w:r>
        <w:rPr>
          <w:rFonts w:ascii="Calibri" w:hAnsi="Calibri" w:eastAsia="Calibri" w:cs="Calibri"/>
          <w:sz w:val="21"/>
          <w:szCs w:val="21"/>
        </w:rPr>
        <w:t>Use machine-learning models such as time-series forecasting or classification on the indicator features to predict trend direction.</w:t>
      </w:r>
    </w:p>
    <w:p w14:paraId="34580B68">
      <w:pPr>
        <w:pStyle w:val="2"/>
        <w:keepNext/>
        <w:shd w:val="clear" w:fill="DDEBF7"/>
        <w:spacing w:before="320" w:after="160"/>
      </w:pPr>
      <w:r>
        <w:rPr>
          <w:rFonts w:ascii="Calibri" w:hAnsi="Calibri" w:eastAsia="Calibri" w:cs="Calibri"/>
          <w:b/>
          <w:bCs/>
          <w:color w:val="1F4E79"/>
          <w:sz w:val="26"/>
          <w:szCs w:val="26"/>
        </w:rPr>
        <w:t>9. References</w:t>
      </w:r>
    </w:p>
    <w:p w14:paraId="636D85DB">
      <w:pPr>
        <w:pStyle w:val="16"/>
        <w:numPr>
          <w:ilvl w:val="0"/>
          <w:numId w:val="2"/>
        </w:numPr>
        <w:spacing w:after="110" w:line="264" w:lineRule="auto"/>
        <w:jc w:val="both"/>
      </w:pPr>
      <w:r>
        <w:rPr>
          <w:rFonts w:ascii="Calibri" w:hAnsi="Calibri" w:eastAsia="Calibri" w:cs="Calibri"/>
          <w:b/>
          <w:bCs/>
          <w:sz w:val="21"/>
          <w:szCs w:val="21"/>
        </w:rPr>
        <w:t xml:space="preserve">1. </w:t>
      </w:r>
      <w:r>
        <w:rPr>
          <w:rFonts w:ascii="Calibri" w:hAnsi="Calibri" w:eastAsia="Calibri" w:cs="Calibri"/>
          <w:sz w:val="21"/>
          <w:szCs w:val="21"/>
        </w:rPr>
        <w:t>Yahoo Finance — NVIDIA Corporation (NVDA) historical prices (dataset source). https://finance.yahoo.com/quote/NVDA/history/</w:t>
      </w:r>
    </w:p>
    <w:p w14:paraId="40110C1C">
      <w:pPr>
        <w:pStyle w:val="16"/>
        <w:numPr>
          <w:ilvl w:val="0"/>
          <w:numId w:val="2"/>
        </w:numPr>
        <w:spacing w:after="110" w:line="264" w:lineRule="auto"/>
        <w:jc w:val="both"/>
      </w:pPr>
      <w:r>
        <w:rPr>
          <w:rFonts w:ascii="Calibri" w:hAnsi="Calibri" w:eastAsia="Calibri" w:cs="Calibri"/>
          <w:b/>
          <w:bCs/>
          <w:sz w:val="21"/>
          <w:szCs w:val="21"/>
        </w:rPr>
        <w:t xml:space="preserve">2. </w:t>
      </w:r>
      <w:r>
        <w:rPr>
          <w:rFonts w:ascii="Calibri" w:hAnsi="Calibri" w:eastAsia="Calibri" w:cs="Calibri"/>
          <w:sz w:val="21"/>
          <w:szCs w:val="21"/>
        </w:rPr>
        <w:t>NumPy — numerical and statistical computing library for Python. https://numpy.org/</w:t>
      </w:r>
    </w:p>
    <w:p w14:paraId="55D1F445">
      <w:pPr>
        <w:pStyle w:val="16"/>
        <w:numPr>
          <w:ilvl w:val="0"/>
          <w:numId w:val="2"/>
        </w:numPr>
        <w:spacing w:after="110" w:line="264" w:lineRule="auto"/>
        <w:jc w:val="both"/>
      </w:pPr>
      <w:r>
        <w:rPr>
          <w:rFonts w:ascii="Calibri" w:hAnsi="Calibri" w:eastAsia="Calibri" w:cs="Calibri"/>
          <w:b/>
          <w:bCs/>
          <w:sz w:val="21"/>
          <w:szCs w:val="21"/>
        </w:rPr>
        <w:t xml:space="preserve">3. </w:t>
      </w:r>
      <w:r>
        <w:rPr>
          <w:rFonts w:ascii="Calibri" w:hAnsi="Calibri" w:eastAsia="Calibri" w:cs="Calibri"/>
          <w:sz w:val="21"/>
          <w:szCs w:val="21"/>
        </w:rPr>
        <w:t>pandas — data cleaning and analysis library for Python. https://pandas.pydata.org/</w:t>
      </w:r>
    </w:p>
    <w:p w14:paraId="73C62D7F">
      <w:pPr>
        <w:pStyle w:val="16"/>
        <w:numPr>
          <w:ilvl w:val="0"/>
          <w:numId w:val="2"/>
        </w:numPr>
        <w:spacing w:after="110" w:line="264" w:lineRule="auto"/>
        <w:jc w:val="both"/>
      </w:pPr>
      <w:r>
        <w:rPr>
          <w:rFonts w:ascii="Calibri" w:hAnsi="Calibri" w:eastAsia="Calibri" w:cs="Calibri"/>
          <w:b/>
          <w:bCs/>
          <w:sz w:val="21"/>
          <w:szCs w:val="21"/>
        </w:rPr>
        <w:t xml:space="preserve">4. </w:t>
      </w:r>
      <w:r>
        <w:rPr>
          <w:rFonts w:ascii="Calibri" w:hAnsi="Calibri" w:eastAsia="Calibri" w:cs="Calibri"/>
          <w:sz w:val="21"/>
          <w:szCs w:val="21"/>
        </w:rPr>
        <w:t>Matplotlib — plotting library used to create the charts. https://matplotlib.org/</w:t>
      </w:r>
    </w:p>
    <w:p w14:paraId="4C7025F1">
      <w:pPr>
        <w:pStyle w:val="16"/>
        <w:numPr>
          <w:ilvl w:val="0"/>
          <w:numId w:val="2"/>
        </w:numPr>
        <w:spacing w:after="110" w:line="264" w:lineRule="auto"/>
        <w:jc w:val="both"/>
      </w:pPr>
      <w:r>
        <w:rPr>
          <w:rFonts w:ascii="Calibri" w:hAnsi="Calibri" w:eastAsia="Calibri" w:cs="Calibri"/>
          <w:b/>
          <w:bCs/>
          <w:sz w:val="21"/>
          <w:szCs w:val="21"/>
        </w:rPr>
        <w:t xml:space="preserve">5. </w:t>
      </w:r>
      <w:r>
        <w:rPr>
          <w:rFonts w:ascii="Calibri" w:hAnsi="Calibri" w:eastAsia="Calibri" w:cs="Calibri"/>
          <w:sz w:val="21"/>
          <w:szCs w:val="21"/>
        </w:rPr>
        <w:t>Seaborn — statistical data visualization library. https://seaborn.pydata.org/</w:t>
      </w:r>
    </w:p>
    <w:p w14:paraId="049DEBEE">
      <w:pPr>
        <w:pStyle w:val="16"/>
        <w:numPr>
          <w:ilvl w:val="0"/>
          <w:numId w:val="2"/>
        </w:numPr>
        <w:spacing w:after="110" w:line="264" w:lineRule="auto"/>
        <w:jc w:val="both"/>
      </w:pPr>
      <w:r>
        <w:rPr>
          <w:rFonts w:ascii="Calibri" w:hAnsi="Calibri" w:eastAsia="Calibri" w:cs="Calibri"/>
          <w:b/>
          <w:bCs/>
          <w:sz w:val="21"/>
          <w:szCs w:val="21"/>
        </w:rPr>
        <w:t xml:space="preserve">6. </w:t>
      </w:r>
      <w:r>
        <w:rPr>
          <w:rFonts w:ascii="Calibri" w:hAnsi="Calibri" w:eastAsia="Calibri" w:cs="Calibri"/>
          <w:sz w:val="21"/>
          <w:szCs w:val="21"/>
        </w:rPr>
        <w:t>ta (Technical Analysis Library in Python) — used to calculate ADX, +DI and −DI. https://github.com/bukosabino/ta</w:t>
      </w:r>
    </w:p>
    <w:p w14:paraId="0E089F90">
      <w:pPr>
        <w:pStyle w:val="16"/>
        <w:numPr>
          <w:ilvl w:val="0"/>
          <w:numId w:val="2"/>
        </w:numPr>
        <w:spacing w:after="110" w:line="264" w:lineRule="auto"/>
        <w:jc w:val="both"/>
      </w:pPr>
      <w:r>
        <w:rPr>
          <w:rFonts w:ascii="Calibri" w:hAnsi="Calibri" w:eastAsia="Calibri" w:cs="Calibri"/>
          <w:b/>
          <w:bCs/>
          <w:sz w:val="21"/>
          <w:szCs w:val="21"/>
        </w:rPr>
        <w:t xml:space="preserve">7. </w:t>
      </w:r>
      <w:r>
        <w:rPr>
          <w:rFonts w:ascii="Calibri" w:hAnsi="Calibri" w:eastAsia="Calibri" w:cs="Calibri"/>
          <w:sz w:val="21"/>
          <w:szCs w:val="21"/>
        </w:rPr>
        <w:t>Google Colab — development environment used to run the notebook. https://colab.research.google.com/</w:t>
      </w:r>
    </w:p>
    <w:p w14:paraId="16CB1B6E">
      <w:pPr>
        <w:pStyle w:val="16"/>
        <w:numPr>
          <w:ilvl w:val="0"/>
          <w:numId w:val="2"/>
        </w:numPr>
        <w:spacing w:after="110" w:line="264" w:lineRule="auto"/>
        <w:jc w:val="both"/>
      </w:pPr>
      <w:r>
        <w:rPr>
          <w:rFonts w:ascii="Calibri" w:hAnsi="Calibri" w:eastAsia="Calibri" w:cs="Calibri"/>
          <w:b/>
          <w:bCs/>
          <w:sz w:val="21"/>
          <w:szCs w:val="21"/>
        </w:rPr>
        <w:t xml:space="preserve">8. </w:t>
      </w:r>
      <w:r>
        <w:rPr>
          <w:rFonts w:ascii="Calibri" w:hAnsi="Calibri" w:eastAsia="Calibri" w:cs="Calibri"/>
          <w:sz w:val="21"/>
          <w:szCs w:val="21"/>
        </w:rPr>
        <w:t>Wilder, J. W. (1978). New Concepts in Technical Trading Systems. Trend Research — original definition of the ADX and directional indicators.</w:t>
      </w:r>
    </w:p>
    <w:p w14:paraId="128FCFE6">
      <w:pPr>
        <w:pStyle w:val="2"/>
        <w:keepNext/>
        <w:shd w:val="clear" w:fill="DDEBF7"/>
        <w:spacing w:before="320" w:after="160"/>
      </w:pPr>
      <w:r>
        <w:rPr>
          <w:rFonts w:ascii="Calibri" w:hAnsi="Calibri" w:eastAsia="Calibri" w:cs="Calibri"/>
          <w:b/>
          <w:bCs/>
          <w:color w:val="1F4E79"/>
          <w:sz w:val="26"/>
          <w:szCs w:val="26"/>
        </w:rPr>
        <w:t>10. AI Tool Usage Declaration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700"/>
        <w:gridCol w:w="3806"/>
      </w:tblGrid>
      <w:tr w14:paraId="4A18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DE23F0F">
            <w:pPr>
              <w:jc w:val="center"/>
            </w:pPr>
            <w:r>
              <w:rPr>
                <w:rFonts w:ascii="Calibri" w:hAnsi="Calibri" w:eastAsia="Calibri" w:cs="Calibri"/>
                <w:b/>
                <w:bCs/>
                <w:color w:val="FFFFFF"/>
                <w:sz w:val="19"/>
                <w:szCs w:val="19"/>
              </w:rPr>
              <w:t>AI Tool Used</w:t>
            </w:r>
          </w:p>
        </w:tc>
        <w:tc>
          <w:tcPr>
            <w:tcW w:w="37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42865508">
            <w:pPr>
              <w:jc w:val="center"/>
            </w:pPr>
            <w:r>
              <w:rPr>
                <w:rFonts w:ascii="Calibri" w:hAnsi="Calibri" w:eastAsia="Calibri" w:cs="Calibri"/>
                <w:b/>
                <w:bCs/>
                <w:color w:val="FFFFFF"/>
                <w:sz w:val="19"/>
                <w:szCs w:val="19"/>
              </w:rPr>
              <w:t>Purpose (e.g., debugging, documentation)</w:t>
            </w:r>
          </w:p>
        </w:tc>
        <w:tc>
          <w:tcPr>
            <w:tcW w:w="38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B025E4F">
            <w:pPr>
              <w:jc w:val="center"/>
            </w:pPr>
            <w:r>
              <w:rPr>
                <w:rFonts w:ascii="Calibri" w:hAnsi="Calibri" w:eastAsia="Calibri" w:cs="Calibri"/>
                <w:b/>
                <w:bCs/>
                <w:color w:val="FFFFFF"/>
                <w:sz w:val="19"/>
                <w:szCs w:val="19"/>
              </w:rPr>
              <w:t>Extent of Use / Section Applied</w:t>
            </w:r>
          </w:p>
        </w:tc>
      </w:tr>
      <w:tr w14:paraId="125B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A912D39">
            <w:pPr>
              <w:jc w:val="left"/>
            </w:pPr>
            <w:r>
              <w:rPr>
                <w:rFonts w:ascii="Calibri" w:hAnsi="Calibri" w:eastAsia="Calibri" w:cs="Calibri"/>
                <w:sz w:val="19"/>
                <w:szCs w:val="19"/>
              </w:rPr>
              <w:t>Claude (Anthropic)</w:t>
            </w:r>
          </w:p>
        </w:tc>
        <w:tc>
          <w:tcPr>
            <w:tcW w:w="3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1798B9C">
            <w:pPr>
              <w:jc w:val="left"/>
            </w:pPr>
            <w:r>
              <w:rPr>
                <w:rFonts w:hint="default" w:cs="Calibri"/>
                <w:sz w:val="19"/>
                <w:szCs w:val="19"/>
                <w:lang w:val="en-US"/>
              </w:rPr>
              <w:t xml:space="preserve">Report </w:t>
            </w:r>
            <w:r>
              <w:rPr>
                <w:rFonts w:ascii="Calibri" w:hAnsi="Calibri" w:eastAsia="Calibri" w:cs="Calibri"/>
                <w:sz w:val="19"/>
                <w:szCs w:val="19"/>
              </w:rPr>
              <w:t>Documentation</w:t>
            </w:r>
          </w:p>
        </w:tc>
        <w:tc>
          <w:tcPr>
            <w:tcW w:w="3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1AECBA">
            <w:pPr>
              <w:jc w:val="left"/>
            </w:pPr>
            <w:r>
              <w:rPr>
                <w:rFonts w:ascii="Calibri" w:hAnsi="Calibri" w:eastAsia="Calibri" w:cs="Calibri"/>
                <w:sz w:val="19"/>
                <w:szCs w:val="19"/>
              </w:rPr>
              <w:t>Report text, Sections 1–10; no new analysis or charts were created</w:t>
            </w:r>
          </w:p>
        </w:tc>
      </w:tr>
      <w:tr w14:paraId="3AC0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43D5154">
            <w:pPr>
              <w:jc w:val="left"/>
              <w:rPr>
                <w:rFonts w:hint="default"/>
                <w:lang w:val="en-US"/>
              </w:rPr>
            </w:pPr>
            <w:r>
              <w:rPr>
                <w:rFonts w:hint="default"/>
                <w:lang w:val="en-US"/>
              </w:rPr>
              <w:t>ChatGPT</w:t>
            </w:r>
          </w:p>
        </w:tc>
        <w:tc>
          <w:tcPr>
            <w:tcW w:w="3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B23B6E">
            <w:pPr>
              <w:jc w:val="left"/>
            </w:pPr>
            <w:r>
              <w:rPr>
                <w:rFonts w:hint="default" w:ascii="Calibri" w:hAnsi="Calibri" w:eastAsia="SimSun" w:cs="Calibri"/>
                <w:sz w:val="18"/>
                <w:szCs w:val="18"/>
              </w:rPr>
              <w:t>code assistance, debugging</w:t>
            </w:r>
          </w:p>
        </w:tc>
        <w:tc>
          <w:tcPr>
            <w:tcW w:w="3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291D3CB">
            <w:pPr>
              <w:jc w:val="left"/>
            </w:pPr>
            <w:r>
              <w:rPr>
                <w:rFonts w:hint="default" w:ascii="Calibri" w:hAnsi="Calibri" w:eastAsia="SimSun" w:cs="Calibri"/>
                <w:sz w:val="18"/>
                <w:szCs w:val="18"/>
              </w:rPr>
              <w:t>Assisted with Python code development, data analysis explanations</w:t>
            </w:r>
          </w:p>
        </w:tc>
      </w:tr>
    </w:tbl>
    <w:p w14:paraId="28FB1CEA">
      <w:pPr>
        <w:pStyle w:val="2"/>
        <w:keepNext/>
        <w:shd w:val="clear" w:fill="DDEBF7"/>
        <w:spacing w:before="320" w:after="160"/>
      </w:pPr>
      <w:r>
        <w:rPr>
          <w:rFonts w:ascii="Calibri" w:hAnsi="Calibri" w:eastAsia="Calibri" w:cs="Calibri"/>
          <w:b/>
          <w:bCs/>
          <w:color w:val="1F4E79"/>
          <w:sz w:val="26"/>
          <w:szCs w:val="26"/>
        </w:rPr>
        <w:t>11. Project Links &amp; Deliverables</w:t>
      </w:r>
    </w:p>
    <w:p w14:paraId="1E528200">
      <w:pPr>
        <w:spacing w:after="140"/>
        <w:rPr>
          <w:rFonts w:hint="default"/>
          <w:b w:val="0"/>
          <w:bCs w:val="0"/>
          <w:lang w:val="en-US"/>
        </w:rPr>
      </w:pPr>
      <w:r>
        <w:rPr>
          <w:rFonts w:ascii="Calibri" w:hAnsi="Calibri" w:eastAsia="Calibri" w:cs="Calibri"/>
          <w:b/>
          <w:bCs/>
          <w:sz w:val="21"/>
          <w:szCs w:val="21"/>
        </w:rPr>
        <w:t xml:space="preserve">GitHub Repository Link: </w:t>
      </w:r>
      <w:r>
        <w:rPr>
          <w:rFonts w:hint="default" w:cs="Calibri"/>
          <w:b w:val="0"/>
          <w:bCs w:val="0"/>
          <w:sz w:val="21"/>
          <w:szCs w:val="21"/>
          <w:lang w:val="en-US"/>
        </w:rPr>
        <w:t xml:space="preserve"> https://github.com/kanveshreddy/stock_trend</w:t>
      </w:r>
    </w:p>
    <w:p w14:paraId="614E036F">
      <w:pPr>
        <w:spacing w:after="140"/>
      </w:pPr>
      <w:r>
        <w:rPr>
          <w:rFonts w:ascii="Calibri" w:hAnsi="Calibri" w:eastAsia="Calibri" w:cs="Calibri"/>
          <w:b/>
          <w:bCs/>
          <w:sz w:val="21"/>
          <w:szCs w:val="21"/>
        </w:rPr>
        <w:t xml:space="preserve">Python Notebook (.ipynb) File Name: </w:t>
      </w:r>
      <w:r>
        <w:rPr>
          <w:rFonts w:ascii="Calibri" w:hAnsi="Calibri" w:eastAsia="Calibri" w:cs="Calibri"/>
          <w:sz w:val="21"/>
          <w:szCs w:val="21"/>
        </w:rPr>
        <w:t>Untitled8_ordered.ipynb</w:t>
      </w:r>
    </w:p>
    <w:p w14:paraId="019DD769">
      <w:pPr>
        <w:spacing w:after="140"/>
      </w:pPr>
      <w:r>
        <w:rPr>
          <w:rFonts w:ascii="Calibri" w:hAnsi="Calibri" w:eastAsia="Calibri" w:cs="Calibri"/>
          <w:b/>
          <w:bCs/>
          <w:sz w:val="21"/>
          <w:szCs w:val="21"/>
        </w:rPr>
        <w:t xml:space="preserve">PBL Report File Name: </w:t>
      </w:r>
      <w:r>
        <w:rPr>
          <w:rFonts w:ascii="Calibri" w:hAnsi="Calibri" w:eastAsia="Calibri" w:cs="Calibri"/>
          <w:sz w:val="21"/>
          <w:szCs w:val="21"/>
        </w:rPr>
        <w:t>PBL_Report_NVDA_Stock_Trend_Analysis.docx</w:t>
      </w:r>
    </w:p>
    <w:p w14:paraId="74DA8F8C">
      <w:pPr>
        <w:spacing w:after="140"/>
      </w:pPr>
      <w:r>
        <w:rPr>
          <w:rFonts w:ascii="Calibri" w:hAnsi="Calibri" w:eastAsia="Calibri" w:cs="Calibri"/>
          <w:sz w:val="21"/>
          <w:szCs w:val="21"/>
        </w:rPr>
        <w:t>☐ GitHub repository includes code, notebook, and a PBL report and README</w:t>
      </w:r>
    </w:p>
    <w:p w14:paraId="433F7C36">
      <w:pPr>
        <w:pStyle w:val="2"/>
        <w:keepNext/>
        <w:shd w:val="clear" w:fill="DDEBF7"/>
        <w:spacing w:before="320" w:after="160"/>
      </w:pPr>
      <w:r>
        <w:rPr>
          <w:rFonts w:ascii="Calibri" w:hAnsi="Calibri" w:eastAsia="Calibri" w:cs="Calibri"/>
          <w:b/>
          <w:bCs/>
          <w:color w:val="1F4E79"/>
          <w:sz w:val="26"/>
          <w:szCs w:val="26"/>
        </w:rPr>
        <w:t>12. Report Structure Checklist (Section 8 Compliance)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200"/>
        <w:gridCol w:w="1806"/>
      </w:tblGrid>
      <w:tr w14:paraId="5D02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39A2A9A6">
            <w:pPr>
              <w:jc w:val="center"/>
            </w:pPr>
            <w:r>
              <w:rPr>
                <w:rFonts w:ascii="Calibri" w:hAnsi="Calibri" w:eastAsia="Calibri" w:cs="Calibri"/>
                <w:b/>
                <w:bCs/>
                <w:color w:val="FFFFFF"/>
                <w:sz w:val="19"/>
                <w:szCs w:val="19"/>
              </w:rPr>
              <w:t>S. No.</w:t>
            </w:r>
          </w:p>
        </w:tc>
        <w:tc>
          <w:tcPr>
            <w:tcW w:w="72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75AD2BDC">
            <w:pPr>
              <w:jc w:val="center"/>
            </w:pPr>
            <w:r>
              <w:rPr>
                <w:rFonts w:ascii="Calibri" w:hAnsi="Calibri" w:eastAsia="Calibri" w:cs="Calibri"/>
                <w:b/>
                <w:bCs/>
                <w:color w:val="FFFFFF"/>
                <w:sz w:val="19"/>
                <w:szCs w:val="19"/>
              </w:rPr>
              <w:t>Report Section (as per Section 8 format)</w:t>
            </w:r>
          </w:p>
        </w:tc>
        <w:tc>
          <w:tcPr>
            <w:tcW w:w="18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23CACEF4">
            <w:pPr>
              <w:jc w:val="center"/>
            </w:pPr>
            <w:r>
              <w:rPr>
                <w:rFonts w:ascii="Calibri" w:hAnsi="Calibri" w:eastAsia="Calibri" w:cs="Calibri"/>
                <w:b/>
                <w:bCs/>
                <w:color w:val="FFFFFF"/>
                <w:sz w:val="19"/>
                <w:szCs w:val="19"/>
              </w:rPr>
              <w:t>Included (✓)</w:t>
            </w:r>
          </w:p>
        </w:tc>
      </w:tr>
      <w:tr w14:paraId="7B2E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606B88">
            <w:pPr>
              <w:jc w:val="center"/>
            </w:pPr>
            <w:r>
              <w:rPr>
                <w:rFonts w:ascii="Calibri" w:hAnsi="Calibri" w:eastAsia="Calibri" w:cs="Calibri"/>
                <w:sz w:val="19"/>
                <w:szCs w:val="19"/>
              </w:rPr>
              <w:t>1</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761D4BF">
            <w:pPr>
              <w:jc w:val="left"/>
            </w:pPr>
            <w:r>
              <w:rPr>
                <w:rFonts w:ascii="Calibri" w:hAnsi="Calibri" w:eastAsia="Calibri" w:cs="Calibri"/>
                <w:sz w:val="19"/>
                <w:szCs w:val="19"/>
              </w:rPr>
              <w:t>Title Page</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3CEB09">
            <w:pPr>
              <w:jc w:val="center"/>
            </w:pPr>
            <w:r>
              <w:rPr>
                <w:rFonts w:ascii="Calibri" w:hAnsi="Calibri" w:eastAsia="Calibri" w:cs="Calibri"/>
                <w:sz w:val="19"/>
                <w:szCs w:val="19"/>
              </w:rPr>
              <w:t>✓</w:t>
            </w:r>
          </w:p>
        </w:tc>
      </w:tr>
      <w:tr w14:paraId="5B6E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460A1B2">
            <w:pPr>
              <w:jc w:val="center"/>
            </w:pPr>
            <w:r>
              <w:rPr>
                <w:rFonts w:ascii="Calibri" w:hAnsi="Calibri" w:eastAsia="Calibri" w:cs="Calibri"/>
                <w:sz w:val="19"/>
                <w:szCs w:val="19"/>
              </w:rPr>
              <w:t>2</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B7F1C34">
            <w:pPr>
              <w:jc w:val="left"/>
            </w:pPr>
            <w:r>
              <w:rPr>
                <w:rFonts w:ascii="Calibri" w:hAnsi="Calibri" w:eastAsia="Calibri" w:cs="Calibri"/>
                <w:sz w:val="19"/>
                <w:szCs w:val="19"/>
              </w:rPr>
              <w:t>Introduction &amp; Problem Statement</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4AD548">
            <w:pPr>
              <w:jc w:val="center"/>
            </w:pPr>
            <w:r>
              <w:rPr>
                <w:rFonts w:ascii="Calibri" w:hAnsi="Calibri" w:eastAsia="Calibri" w:cs="Calibri"/>
                <w:sz w:val="19"/>
                <w:szCs w:val="19"/>
              </w:rPr>
              <w:t>✓</w:t>
            </w:r>
          </w:p>
        </w:tc>
      </w:tr>
      <w:tr w14:paraId="592C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0098A0">
            <w:pPr>
              <w:jc w:val="center"/>
            </w:pPr>
            <w:r>
              <w:rPr>
                <w:rFonts w:ascii="Calibri" w:hAnsi="Calibri" w:eastAsia="Calibri" w:cs="Calibri"/>
                <w:sz w:val="19"/>
                <w:szCs w:val="19"/>
              </w:rPr>
              <w:t>3</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D558ED6">
            <w:pPr>
              <w:jc w:val="left"/>
            </w:pPr>
            <w:r>
              <w:rPr>
                <w:rFonts w:ascii="Calibri" w:hAnsi="Calibri" w:eastAsia="Calibri" w:cs="Calibri"/>
                <w:sz w:val="19"/>
                <w:szCs w:val="19"/>
              </w:rPr>
              <w:t>Dataset Description &amp; Source</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D7B9E5">
            <w:pPr>
              <w:jc w:val="center"/>
            </w:pPr>
            <w:r>
              <w:rPr>
                <w:rFonts w:ascii="Calibri" w:hAnsi="Calibri" w:eastAsia="Calibri" w:cs="Calibri"/>
                <w:sz w:val="19"/>
                <w:szCs w:val="19"/>
              </w:rPr>
              <w:t>✓</w:t>
            </w:r>
          </w:p>
        </w:tc>
      </w:tr>
      <w:tr w14:paraId="18F0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58024AC">
            <w:pPr>
              <w:jc w:val="center"/>
            </w:pPr>
            <w:r>
              <w:rPr>
                <w:rFonts w:ascii="Calibri" w:hAnsi="Calibri" w:eastAsia="Calibri" w:cs="Calibri"/>
                <w:sz w:val="19"/>
                <w:szCs w:val="19"/>
              </w:rPr>
              <w:t>4</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0A73B9">
            <w:pPr>
              <w:jc w:val="left"/>
            </w:pPr>
            <w:r>
              <w:rPr>
                <w:rFonts w:ascii="Calibri" w:hAnsi="Calibri" w:eastAsia="Calibri" w:cs="Calibri"/>
                <w:sz w:val="19"/>
                <w:szCs w:val="19"/>
              </w:rPr>
              <w:t>Data Cleaning &amp; Preprocessing</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DE0E8C">
            <w:pPr>
              <w:jc w:val="center"/>
            </w:pPr>
            <w:r>
              <w:rPr>
                <w:rFonts w:ascii="Calibri" w:hAnsi="Calibri" w:eastAsia="Calibri" w:cs="Calibri"/>
                <w:sz w:val="19"/>
                <w:szCs w:val="19"/>
              </w:rPr>
              <w:t>✓</w:t>
            </w:r>
          </w:p>
        </w:tc>
      </w:tr>
      <w:tr w14:paraId="5683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8BE611">
            <w:pPr>
              <w:jc w:val="center"/>
            </w:pPr>
            <w:r>
              <w:rPr>
                <w:rFonts w:ascii="Calibri" w:hAnsi="Calibri" w:eastAsia="Calibri" w:cs="Calibri"/>
                <w:sz w:val="19"/>
                <w:szCs w:val="19"/>
              </w:rPr>
              <w:t>5</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876F7EC">
            <w:pPr>
              <w:jc w:val="left"/>
            </w:pPr>
            <w:r>
              <w:rPr>
                <w:rFonts w:ascii="Calibri" w:hAnsi="Calibri" w:eastAsia="Calibri" w:cs="Calibri"/>
                <w:sz w:val="19"/>
                <w:szCs w:val="19"/>
              </w:rPr>
              <w:t>Exploratory Data Analysis (EDA)</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4C2907">
            <w:pPr>
              <w:jc w:val="center"/>
            </w:pPr>
            <w:r>
              <w:rPr>
                <w:rFonts w:ascii="Calibri" w:hAnsi="Calibri" w:eastAsia="Calibri" w:cs="Calibri"/>
                <w:sz w:val="19"/>
                <w:szCs w:val="19"/>
              </w:rPr>
              <w:t>✓</w:t>
            </w:r>
          </w:p>
        </w:tc>
      </w:tr>
      <w:tr w14:paraId="7E77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9415166">
            <w:pPr>
              <w:jc w:val="center"/>
            </w:pPr>
            <w:r>
              <w:rPr>
                <w:rFonts w:ascii="Calibri" w:hAnsi="Calibri" w:eastAsia="Calibri" w:cs="Calibri"/>
                <w:sz w:val="19"/>
                <w:szCs w:val="19"/>
              </w:rPr>
              <w:t>6</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7855456">
            <w:pPr>
              <w:jc w:val="left"/>
            </w:pPr>
            <w:r>
              <w:rPr>
                <w:rFonts w:ascii="Calibri" w:hAnsi="Calibri" w:eastAsia="Calibri" w:cs="Calibri"/>
                <w:sz w:val="19"/>
                <w:szCs w:val="19"/>
              </w:rPr>
              <w:t>Data Visualization &amp; Observations</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7EA1648">
            <w:pPr>
              <w:jc w:val="center"/>
            </w:pPr>
            <w:r>
              <w:rPr>
                <w:rFonts w:ascii="Calibri" w:hAnsi="Calibri" w:eastAsia="Calibri" w:cs="Calibri"/>
                <w:sz w:val="19"/>
                <w:szCs w:val="19"/>
              </w:rPr>
              <w:t>✓</w:t>
            </w:r>
          </w:p>
        </w:tc>
      </w:tr>
      <w:tr w14:paraId="744B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05770C">
            <w:pPr>
              <w:jc w:val="center"/>
            </w:pPr>
            <w:r>
              <w:rPr>
                <w:rFonts w:ascii="Calibri" w:hAnsi="Calibri" w:eastAsia="Calibri" w:cs="Calibri"/>
                <w:sz w:val="19"/>
                <w:szCs w:val="19"/>
              </w:rPr>
              <w:t>7</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B651E5">
            <w:pPr>
              <w:jc w:val="left"/>
            </w:pPr>
            <w:r>
              <w:rPr>
                <w:rFonts w:ascii="Calibri" w:hAnsi="Calibri" w:eastAsia="Calibri" w:cs="Calibri"/>
                <w:sz w:val="19"/>
                <w:szCs w:val="19"/>
              </w:rPr>
              <w:t>Statistical Analysis (Basic)</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6623D58">
            <w:pPr>
              <w:jc w:val="center"/>
            </w:pPr>
            <w:r>
              <w:rPr>
                <w:rFonts w:ascii="Calibri" w:hAnsi="Calibri" w:eastAsia="Calibri" w:cs="Calibri"/>
                <w:sz w:val="19"/>
                <w:szCs w:val="19"/>
              </w:rPr>
              <w:t>✓</w:t>
            </w:r>
          </w:p>
        </w:tc>
      </w:tr>
      <w:tr w14:paraId="7FCA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39DE457">
            <w:pPr>
              <w:jc w:val="center"/>
            </w:pPr>
            <w:r>
              <w:rPr>
                <w:rFonts w:ascii="Calibri" w:hAnsi="Calibri" w:eastAsia="Calibri" w:cs="Calibri"/>
                <w:sz w:val="19"/>
                <w:szCs w:val="19"/>
              </w:rPr>
              <w:t>8</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0C90F1">
            <w:pPr>
              <w:jc w:val="left"/>
            </w:pPr>
            <w:r>
              <w:rPr>
                <w:rFonts w:ascii="Calibri" w:hAnsi="Calibri" w:eastAsia="Calibri" w:cs="Calibri"/>
                <w:sz w:val="19"/>
                <w:szCs w:val="19"/>
              </w:rPr>
              <w:t>Key Insights &amp; Interpretation</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0F7D5C">
            <w:pPr>
              <w:jc w:val="center"/>
            </w:pPr>
            <w:r>
              <w:rPr>
                <w:rFonts w:ascii="Calibri" w:hAnsi="Calibri" w:eastAsia="Calibri" w:cs="Calibri"/>
                <w:sz w:val="19"/>
                <w:szCs w:val="19"/>
              </w:rPr>
              <w:t>✓</w:t>
            </w:r>
          </w:p>
        </w:tc>
      </w:tr>
      <w:tr w14:paraId="7E7B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1F154DC">
            <w:pPr>
              <w:jc w:val="center"/>
            </w:pPr>
            <w:r>
              <w:rPr>
                <w:rFonts w:ascii="Calibri" w:hAnsi="Calibri" w:eastAsia="Calibri" w:cs="Calibri"/>
                <w:sz w:val="19"/>
                <w:szCs w:val="19"/>
              </w:rPr>
              <w:t>9</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573B84D">
            <w:pPr>
              <w:jc w:val="left"/>
            </w:pPr>
            <w:r>
              <w:rPr>
                <w:rFonts w:ascii="Calibri" w:hAnsi="Calibri" w:eastAsia="Calibri" w:cs="Calibri"/>
                <w:sz w:val="19"/>
                <w:szCs w:val="19"/>
              </w:rPr>
              <w:t>Conclusion &amp; Future Scope</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4AED95">
            <w:pPr>
              <w:jc w:val="center"/>
            </w:pPr>
            <w:r>
              <w:rPr>
                <w:rFonts w:ascii="Calibri" w:hAnsi="Calibri" w:eastAsia="Calibri" w:cs="Calibri"/>
                <w:sz w:val="19"/>
                <w:szCs w:val="19"/>
              </w:rPr>
              <w:t>✓</w:t>
            </w:r>
          </w:p>
        </w:tc>
      </w:tr>
      <w:tr w14:paraId="4229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F575EF">
            <w:pPr>
              <w:jc w:val="center"/>
            </w:pPr>
            <w:r>
              <w:rPr>
                <w:rFonts w:ascii="Calibri" w:hAnsi="Calibri" w:eastAsia="Calibri" w:cs="Calibri"/>
                <w:sz w:val="19"/>
                <w:szCs w:val="19"/>
              </w:rPr>
              <w:t>10</w:t>
            </w:r>
          </w:p>
        </w:tc>
        <w:tc>
          <w:tcPr>
            <w:tcW w:w="7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89E372">
            <w:pPr>
              <w:jc w:val="left"/>
            </w:pPr>
            <w:r>
              <w:rPr>
                <w:rFonts w:ascii="Calibri" w:hAnsi="Calibri" w:eastAsia="Calibri" w:cs="Calibri"/>
                <w:sz w:val="19"/>
                <w:szCs w:val="19"/>
              </w:rPr>
              <w:t>References</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5827C26">
            <w:pPr>
              <w:jc w:val="center"/>
            </w:pPr>
            <w:r>
              <w:rPr>
                <w:rFonts w:ascii="Calibri" w:hAnsi="Calibri" w:eastAsia="Calibri" w:cs="Calibri"/>
                <w:sz w:val="19"/>
                <w:szCs w:val="19"/>
              </w:rPr>
              <w:t>✓</w:t>
            </w:r>
          </w:p>
        </w:tc>
      </w:tr>
    </w:tbl>
    <w:p w14:paraId="48E41042">
      <w:pPr>
        <w:pStyle w:val="2"/>
        <w:keepNext/>
        <w:shd w:val="clear" w:fill="DDEBF7"/>
        <w:spacing w:before="320" w:after="160"/>
      </w:pPr>
      <w:r>
        <w:rPr>
          <w:rFonts w:ascii="Calibri" w:hAnsi="Calibri" w:eastAsia="Calibri" w:cs="Calibri"/>
          <w:b/>
          <w:bCs/>
          <w:color w:val="1F4E79"/>
          <w:sz w:val="26"/>
          <w:szCs w:val="26"/>
        </w:rPr>
        <w:t>13. Declaration by Student(s)</w:t>
      </w:r>
    </w:p>
    <w:p w14:paraId="5C326620">
      <w:pPr>
        <w:spacing w:after="120" w:line="264" w:lineRule="auto"/>
        <w:jc w:val="both"/>
      </w:pPr>
      <w:r>
        <w:rPr>
          <w:rFonts w:ascii="Calibri" w:hAnsi="Calibri" w:eastAsia="Calibri" w:cs="Calibri"/>
          <w:sz w:val="21"/>
          <w:szCs w:val="21"/>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7289EAAA">
      <w:pPr>
        <w:spacing w:before="200" w:after="140"/>
      </w:pPr>
      <w:r>
        <w:rPr>
          <w:rFonts w:ascii="Calibri" w:hAnsi="Calibri" w:eastAsia="Calibri" w:cs="Calibri"/>
          <w:b/>
          <w:bCs/>
          <w:sz w:val="21"/>
          <w:szCs w:val="21"/>
        </w:rPr>
        <w:t xml:space="preserve">Team Leader Signature: </w:t>
      </w:r>
      <w:r>
        <w:rPr>
          <w:rFonts w:ascii="Calibri" w:hAnsi="Calibri" w:eastAsia="Calibri" w:cs="Calibri"/>
          <w:sz w:val="21"/>
          <w:szCs w:val="21"/>
        </w:rPr>
        <w:t>_________________________________________</w:t>
      </w:r>
    </w:p>
    <w:p w14:paraId="33A2C055">
      <w:pPr>
        <w:spacing w:before="200" w:after="140"/>
      </w:pPr>
      <w:r>
        <w:rPr>
          <w:rFonts w:ascii="Calibri" w:hAnsi="Calibri" w:eastAsia="Calibri" w:cs="Calibri"/>
          <w:b/>
          <w:bCs/>
          <w:sz w:val="21"/>
          <w:szCs w:val="21"/>
        </w:rPr>
        <w:t xml:space="preserve">Team Member Signature(s): </w:t>
      </w:r>
      <w:r>
        <w:rPr>
          <w:rFonts w:ascii="Calibri" w:hAnsi="Calibri" w:eastAsia="Calibri" w:cs="Calibri"/>
          <w:sz w:val="21"/>
          <w:szCs w:val="21"/>
        </w:rPr>
        <w:t>_________________________________________</w:t>
      </w:r>
    </w:p>
    <w:p w14:paraId="2443646E">
      <w:pPr>
        <w:spacing w:before="200" w:after="140"/>
        <w:rPr>
          <w:rFonts w:hint="default" w:cs="Calibri"/>
          <w:b/>
          <w:bCs/>
          <w:sz w:val="21"/>
          <w:szCs w:val="21"/>
          <w:lang w:val="en-US"/>
        </w:rPr>
      </w:pPr>
      <w:r>
        <w:rPr>
          <w:rFonts w:ascii="Calibri" w:hAnsi="Calibri" w:eastAsia="Calibri" w:cs="Calibri"/>
          <w:b/>
          <w:bCs/>
          <w:sz w:val="21"/>
          <w:szCs w:val="21"/>
        </w:rPr>
        <w:t>Date:</w:t>
      </w:r>
      <w:r>
        <w:rPr>
          <w:rFonts w:hint="default" w:cs="Calibri"/>
          <w:b/>
          <w:bCs/>
          <w:sz w:val="21"/>
          <w:szCs w:val="21"/>
          <w:lang w:val="en-US"/>
        </w:rPr>
        <w:t xml:space="preserve"> 21-10-2026</w:t>
      </w:r>
    </w:p>
    <w:p w14:paraId="06967E0B">
      <w:pPr>
        <w:spacing w:before="200" w:after="140"/>
        <w:rPr>
          <w:rFonts w:hint="default" w:cs="Calibri"/>
          <w:b/>
          <w:bCs/>
          <w:sz w:val="21"/>
          <w:szCs w:val="21"/>
          <w:lang w:val="en-US"/>
        </w:rPr>
      </w:pPr>
    </w:p>
    <w:p w14:paraId="29F66ACB">
      <w:pPr>
        <w:spacing w:before="200" w:after="140"/>
        <w:rPr>
          <w:rFonts w:hint="default" w:cs="Calibri"/>
          <w:b/>
          <w:bCs/>
          <w:sz w:val="21"/>
          <w:szCs w:val="21"/>
          <w:lang w:val="en-US"/>
        </w:rPr>
      </w:pPr>
    </w:p>
    <w:p w14:paraId="4CFEC387">
      <w:pPr>
        <w:spacing w:before="200" w:after="140"/>
        <w:rPr>
          <w:rFonts w:hint="default" w:cs="Calibri"/>
          <w:b/>
          <w:bCs/>
          <w:sz w:val="21"/>
          <w:szCs w:val="21"/>
          <w:lang w:val="en-US"/>
        </w:rPr>
      </w:pPr>
    </w:p>
    <w:p w14:paraId="0EB95E07">
      <w:pPr>
        <w:spacing w:before="200" w:after="140"/>
        <w:rPr>
          <w:rFonts w:hint="default" w:cs="Calibri"/>
          <w:b/>
          <w:bCs/>
          <w:sz w:val="21"/>
          <w:szCs w:val="21"/>
          <w:lang w:val="en-US"/>
        </w:rPr>
      </w:pPr>
    </w:p>
    <w:p w14:paraId="7DC327A9">
      <w:pPr>
        <w:spacing w:before="200" w:after="140"/>
        <w:rPr>
          <w:rFonts w:hint="default" w:cs="Calibri"/>
          <w:b/>
          <w:bCs/>
          <w:sz w:val="21"/>
          <w:szCs w:val="21"/>
          <w:lang w:val="en-US"/>
        </w:rPr>
      </w:pPr>
    </w:p>
    <w:p w14:paraId="1ED8B348">
      <w:pPr>
        <w:spacing w:before="200" w:after="140"/>
        <w:rPr>
          <w:rFonts w:hint="default" w:cs="Calibri"/>
          <w:b/>
          <w:bCs/>
          <w:sz w:val="21"/>
          <w:szCs w:val="21"/>
          <w:lang w:val="en-US"/>
        </w:rPr>
      </w:pPr>
    </w:p>
    <w:p w14:paraId="350A1BA4">
      <w:pPr>
        <w:spacing w:before="200" w:after="140"/>
        <w:rPr>
          <w:rFonts w:hint="default" w:cs="Calibri"/>
          <w:b/>
          <w:bCs/>
          <w:sz w:val="21"/>
          <w:szCs w:val="21"/>
          <w:lang w:val="en-US"/>
        </w:rPr>
      </w:pPr>
    </w:p>
    <w:p w14:paraId="559BB734">
      <w:pPr>
        <w:spacing w:before="200" w:after="140"/>
        <w:rPr>
          <w:rFonts w:hint="default" w:cs="Calibri"/>
          <w:b/>
          <w:bCs/>
          <w:sz w:val="21"/>
          <w:szCs w:val="21"/>
          <w:lang w:val="en-US"/>
        </w:rPr>
      </w:pPr>
    </w:p>
    <w:p w14:paraId="4CED8F71">
      <w:pPr>
        <w:spacing w:before="200" w:after="140"/>
        <w:rPr>
          <w:rFonts w:hint="default" w:cs="Calibri"/>
          <w:b/>
          <w:bCs/>
          <w:sz w:val="21"/>
          <w:szCs w:val="21"/>
          <w:lang w:val="en-US"/>
        </w:rPr>
      </w:pPr>
    </w:p>
    <w:p w14:paraId="27711C67">
      <w:pPr>
        <w:spacing w:before="200" w:after="140"/>
        <w:rPr>
          <w:rFonts w:hint="default" w:cs="Calibri"/>
          <w:b/>
          <w:bCs/>
          <w:sz w:val="21"/>
          <w:szCs w:val="21"/>
          <w:lang w:val="en-US"/>
        </w:rPr>
      </w:pPr>
    </w:p>
    <w:p w14:paraId="6821D67D">
      <w:pPr>
        <w:spacing w:before="200" w:after="140"/>
        <w:rPr>
          <w:rFonts w:hint="default" w:cs="Calibri"/>
          <w:b/>
          <w:bCs/>
          <w:sz w:val="21"/>
          <w:szCs w:val="21"/>
          <w:lang w:val="en-US"/>
        </w:rPr>
      </w:pPr>
    </w:p>
    <w:p w14:paraId="58F7DCE3">
      <w:pPr>
        <w:spacing w:before="200" w:after="140"/>
        <w:rPr>
          <w:rFonts w:hint="default" w:cs="Calibri"/>
          <w:b/>
          <w:bCs/>
          <w:sz w:val="21"/>
          <w:szCs w:val="21"/>
          <w:lang w:val="en-US"/>
        </w:rPr>
      </w:pPr>
    </w:p>
    <w:p w14:paraId="6354A67E">
      <w:pPr>
        <w:spacing w:before="200" w:after="140"/>
        <w:rPr>
          <w:rFonts w:hint="default" w:cs="Calibri"/>
          <w:b/>
          <w:bCs/>
          <w:sz w:val="21"/>
          <w:szCs w:val="21"/>
          <w:lang w:val="en-US"/>
        </w:rPr>
      </w:pPr>
    </w:p>
    <w:p w14:paraId="69BD6EB5">
      <w:pPr>
        <w:spacing w:before="200" w:after="140"/>
        <w:rPr>
          <w:rFonts w:hint="default" w:cs="Calibri"/>
          <w:b/>
          <w:bCs/>
          <w:sz w:val="21"/>
          <w:szCs w:val="21"/>
          <w:lang w:val="en-US"/>
        </w:rPr>
      </w:pPr>
    </w:p>
    <w:p w14:paraId="797A8290">
      <w:pPr>
        <w:spacing w:before="200" w:after="140"/>
        <w:rPr>
          <w:rFonts w:hint="default" w:cs="Calibri"/>
          <w:b/>
          <w:bCs/>
          <w:sz w:val="21"/>
          <w:szCs w:val="21"/>
          <w:lang w:val="en-US"/>
        </w:rPr>
      </w:pPr>
    </w:p>
    <w:p w14:paraId="3DA71136">
      <w:pPr>
        <w:spacing w:before="200" w:after="140"/>
        <w:rPr>
          <w:rFonts w:hint="default" w:cs="Calibri"/>
          <w:b/>
          <w:bCs/>
          <w:sz w:val="21"/>
          <w:szCs w:val="21"/>
          <w:lang w:val="en-US"/>
        </w:rPr>
      </w:pPr>
    </w:p>
    <w:p w14:paraId="47409E54">
      <w:pPr>
        <w:spacing w:before="200" w:after="140"/>
        <w:rPr>
          <w:rFonts w:hint="default" w:cs="Calibri"/>
          <w:b/>
          <w:bCs/>
          <w:sz w:val="21"/>
          <w:szCs w:val="21"/>
          <w:lang w:val="en-US"/>
        </w:rPr>
      </w:pPr>
    </w:p>
    <w:p w14:paraId="4D14835A">
      <w:pPr>
        <w:spacing w:before="200" w:after="140"/>
        <w:rPr>
          <w:rFonts w:hint="default" w:cs="Calibri"/>
          <w:b/>
          <w:bCs/>
          <w:sz w:val="21"/>
          <w:szCs w:val="21"/>
          <w:lang w:val="en-US"/>
        </w:rPr>
      </w:pPr>
    </w:p>
    <w:p w14:paraId="3A02A066">
      <w:pPr>
        <w:spacing w:before="200" w:after="140"/>
        <w:rPr>
          <w:rFonts w:hint="default" w:cs="Calibri"/>
          <w:b/>
          <w:bCs/>
          <w:sz w:val="21"/>
          <w:szCs w:val="21"/>
          <w:lang w:val="en-US"/>
        </w:rPr>
      </w:pPr>
    </w:p>
    <w:p w14:paraId="1C3CAC6A">
      <w:pPr>
        <w:spacing w:before="200" w:after="140"/>
        <w:rPr>
          <w:rFonts w:hint="default" w:cs="Calibri"/>
          <w:b/>
          <w:bCs/>
          <w:sz w:val="21"/>
          <w:szCs w:val="21"/>
          <w:lang w:val="en-US"/>
        </w:rPr>
      </w:pPr>
    </w:p>
    <w:p w14:paraId="64660FFD">
      <w:pPr>
        <w:spacing w:before="200" w:after="140"/>
        <w:rPr>
          <w:rFonts w:hint="default" w:cs="Calibri"/>
          <w:b/>
          <w:bCs/>
          <w:sz w:val="21"/>
          <w:szCs w:val="21"/>
          <w:lang w:val="en-US"/>
        </w:rPr>
      </w:pPr>
    </w:p>
    <w:p w14:paraId="631E9DEE">
      <w:pPr>
        <w:spacing w:before="200" w:after="140"/>
        <w:rPr>
          <w:rFonts w:hint="default" w:cs="Calibri"/>
          <w:b/>
          <w:bCs/>
          <w:sz w:val="21"/>
          <w:szCs w:val="21"/>
          <w:lang w:val="en-US"/>
        </w:rPr>
      </w:pPr>
    </w:p>
    <w:p w14:paraId="18E974BD">
      <w:pPr>
        <w:spacing w:before="200" w:after="140"/>
        <w:rPr>
          <w:rFonts w:hint="default" w:cs="Calibri"/>
          <w:b/>
          <w:bCs/>
          <w:sz w:val="21"/>
          <w:szCs w:val="21"/>
          <w:lang w:val="en-US"/>
        </w:rPr>
      </w:pPr>
    </w:p>
    <w:p w14:paraId="2D801D4B">
      <w:pPr>
        <w:spacing w:before="200" w:after="140"/>
        <w:rPr>
          <w:rFonts w:hint="default" w:cs="Calibri"/>
          <w:b/>
          <w:bCs/>
          <w:sz w:val="21"/>
          <w:szCs w:val="21"/>
          <w:lang w:val="en-US"/>
        </w:rPr>
      </w:pPr>
    </w:p>
    <w:p w14:paraId="04EA97F7">
      <w:pPr>
        <w:spacing w:before="200" w:after="140"/>
        <w:rPr>
          <w:rFonts w:hint="default" w:cs="Calibri"/>
          <w:b/>
          <w:bCs/>
          <w:sz w:val="21"/>
          <w:szCs w:val="21"/>
          <w:lang w:val="en-US"/>
        </w:rPr>
      </w:pPr>
      <w:bookmarkStart w:id="0" w:name="_GoBack"/>
      <w:bookmarkEnd w:id="0"/>
    </w:p>
    <w:p w14:paraId="3D836BCB">
      <w:pPr>
        <w:pStyle w:val="2"/>
        <w:keepNext/>
        <w:shd w:val="clear" w:fill="DDEBF7"/>
        <w:spacing w:before="320" w:after="160"/>
      </w:pPr>
      <w:r>
        <w:rPr>
          <w:rFonts w:ascii="Calibri" w:hAnsi="Calibri" w:eastAsia="Calibri" w:cs="Calibri"/>
          <w:b/>
          <w:bCs/>
          <w:color w:val="1F4E79"/>
          <w:sz w:val="26"/>
          <w:szCs w:val="26"/>
        </w:rPr>
        <w:t>14. For Faculty Use Only — PBL Final Report Evaluation</w:t>
      </w:r>
    </w:p>
    <w:p w14:paraId="2D7E848B">
      <w:pPr>
        <w:spacing w:after="120" w:line="264" w:lineRule="auto"/>
        <w:jc w:val="both"/>
      </w:pPr>
      <w:r>
        <w:rPr>
          <w:rFonts w:ascii="Calibri" w:hAnsi="Calibri" w:eastAsia="Calibri" w:cs="Calibri"/>
          <w:i/>
          <w:iCs/>
          <w:color w:val="555555"/>
          <w:sz w:val="21"/>
          <w:szCs w:val="21"/>
        </w:rPr>
        <w:t>Evaluation Component B — PBL Final Report Submission | Mid-Term (PBL Based): 10 Marks (Section 10 of PBL Guidelines)</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06"/>
        <w:gridCol w:w="1700"/>
        <w:gridCol w:w="2300"/>
      </w:tblGrid>
      <w:tr w14:paraId="50E5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906"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56EDF618">
            <w:pPr>
              <w:jc w:val="center"/>
            </w:pPr>
            <w:r>
              <w:rPr>
                <w:rFonts w:ascii="Calibri" w:hAnsi="Calibri" w:eastAsia="Calibri" w:cs="Calibri"/>
                <w:b/>
                <w:bCs/>
                <w:color w:val="FFFFFF"/>
                <w:sz w:val="19"/>
                <w:szCs w:val="19"/>
              </w:rPr>
              <w:t>Evaluation Criteria</w:t>
            </w:r>
          </w:p>
        </w:tc>
        <w:tc>
          <w:tcPr>
            <w:tcW w:w="17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4E123605">
            <w:pPr>
              <w:jc w:val="center"/>
            </w:pPr>
            <w:r>
              <w:rPr>
                <w:rFonts w:ascii="Calibri" w:hAnsi="Calibri" w:eastAsia="Calibri" w:cs="Calibri"/>
                <w:b/>
                <w:bCs/>
                <w:color w:val="FFFFFF"/>
                <w:sz w:val="19"/>
                <w:szCs w:val="19"/>
              </w:rPr>
              <w:t>Max Marks</w:t>
            </w:r>
          </w:p>
        </w:tc>
        <w:tc>
          <w:tcPr>
            <w:tcW w:w="2300" w:type="dxa"/>
            <w:tcBorders>
              <w:top w:val="single" w:color="999999" w:sz="4" w:space="0"/>
              <w:left w:val="single" w:color="999999" w:sz="4" w:space="0"/>
              <w:bottom w:val="single" w:color="999999" w:sz="4" w:space="0"/>
              <w:right w:val="single" w:color="999999" w:sz="4" w:space="0"/>
            </w:tcBorders>
            <w:shd w:val="clear" w:color="auto" w:fill="1F4E79"/>
            <w:tcMar>
              <w:top w:w="60" w:type="dxa"/>
              <w:left w:w="100" w:type="dxa"/>
              <w:bottom w:w="60" w:type="dxa"/>
              <w:right w:w="100" w:type="dxa"/>
            </w:tcMar>
            <w:vAlign w:val="center"/>
          </w:tcPr>
          <w:p w14:paraId="44FDB402">
            <w:pPr>
              <w:jc w:val="center"/>
            </w:pPr>
            <w:r>
              <w:rPr>
                <w:rFonts w:ascii="Calibri" w:hAnsi="Calibri" w:eastAsia="Calibri" w:cs="Calibri"/>
                <w:b/>
                <w:bCs/>
                <w:color w:val="FFFFFF"/>
                <w:sz w:val="19"/>
                <w:szCs w:val="19"/>
              </w:rPr>
              <w:t>Marks Awarded</w:t>
            </w:r>
          </w:p>
        </w:tc>
      </w:tr>
      <w:tr w14:paraId="5D38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3EC5EF">
            <w:pPr>
              <w:jc w:val="left"/>
            </w:pPr>
            <w:r>
              <w:rPr>
                <w:rFonts w:ascii="Calibri" w:hAnsi="Calibri" w:eastAsia="Calibri" w:cs="Calibri"/>
                <w:sz w:val="19"/>
                <w:szCs w:val="19"/>
              </w:rPr>
              <w:t>Data Cleaning &amp; Preprocessing</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874FC44">
            <w:pPr>
              <w:jc w:val="center"/>
            </w:pPr>
            <w:r>
              <w:rPr>
                <w:rFonts w:ascii="Calibri" w:hAnsi="Calibri" w:eastAsia="Calibri" w:cs="Calibri"/>
                <w:sz w:val="19"/>
                <w:szCs w:val="19"/>
              </w:rPr>
              <w:t>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19D6F58">
            <w:pPr>
              <w:jc w:val="left"/>
            </w:pPr>
          </w:p>
        </w:tc>
      </w:tr>
      <w:tr w14:paraId="2ECC1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21AF26">
            <w:pPr>
              <w:jc w:val="left"/>
            </w:pPr>
            <w:r>
              <w:rPr>
                <w:rFonts w:ascii="Calibri" w:hAnsi="Calibri" w:eastAsia="Calibri" w:cs="Calibri"/>
                <w:sz w:val="19"/>
                <w:szCs w:val="19"/>
              </w:rPr>
              <w:t>Exploratory Data Analysis (EDA)</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957D14">
            <w:pPr>
              <w:jc w:val="center"/>
            </w:pPr>
            <w:r>
              <w:rPr>
                <w:rFonts w:ascii="Calibri" w:hAnsi="Calibri" w:eastAsia="Calibri" w:cs="Calibri"/>
                <w:sz w:val="19"/>
                <w:szCs w:val="19"/>
              </w:rPr>
              <w:t>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9941178">
            <w:pPr>
              <w:jc w:val="left"/>
            </w:pPr>
          </w:p>
        </w:tc>
      </w:tr>
      <w:tr w14:paraId="704C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2982FD">
            <w:pPr>
              <w:jc w:val="left"/>
            </w:pPr>
            <w:r>
              <w:rPr>
                <w:rFonts w:ascii="Calibri" w:hAnsi="Calibri" w:eastAsia="Calibri" w:cs="Calibri"/>
                <w:sz w:val="19"/>
                <w:szCs w:val="19"/>
              </w:rPr>
              <w:t>Visualization &amp; Observations</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8EF55BF">
            <w:pPr>
              <w:jc w:val="center"/>
            </w:pPr>
            <w:r>
              <w:rPr>
                <w:rFonts w:ascii="Calibri" w:hAnsi="Calibri" w:eastAsia="Calibri" w:cs="Calibri"/>
                <w:sz w:val="19"/>
                <w:szCs w:val="19"/>
              </w:rPr>
              <w:t>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5A65C6F">
            <w:pPr>
              <w:jc w:val="left"/>
            </w:pPr>
          </w:p>
        </w:tc>
      </w:tr>
      <w:tr w14:paraId="6A36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92B6810">
            <w:pPr>
              <w:jc w:val="left"/>
            </w:pPr>
            <w:r>
              <w:rPr>
                <w:rFonts w:ascii="Calibri" w:hAnsi="Calibri" w:eastAsia="Calibri" w:cs="Calibri"/>
                <w:sz w:val="19"/>
                <w:szCs w:val="19"/>
              </w:rPr>
              <w:t>Statistical Analysis</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374298">
            <w:pPr>
              <w:jc w:val="center"/>
            </w:pPr>
            <w:r>
              <w:rPr>
                <w:rFonts w:ascii="Calibri" w:hAnsi="Calibri" w:eastAsia="Calibri" w:cs="Calibri"/>
                <w:sz w:val="19"/>
                <w:szCs w:val="19"/>
              </w:rPr>
              <w:t>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3B820A9">
            <w:pPr>
              <w:jc w:val="left"/>
            </w:pPr>
          </w:p>
        </w:tc>
      </w:tr>
      <w:tr w14:paraId="2E76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818222E">
            <w:pPr>
              <w:jc w:val="left"/>
            </w:pPr>
            <w:r>
              <w:rPr>
                <w:rFonts w:ascii="Calibri" w:hAnsi="Calibri" w:eastAsia="Calibri" w:cs="Calibri"/>
                <w:sz w:val="19"/>
                <w:szCs w:val="19"/>
              </w:rPr>
              <w:t>Insights, Interpretation &amp; Conclusion</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353FA06">
            <w:pPr>
              <w:jc w:val="center"/>
            </w:pPr>
            <w:r>
              <w:rPr>
                <w:rFonts w:ascii="Calibri" w:hAnsi="Calibri" w:eastAsia="Calibri" w:cs="Calibri"/>
                <w:sz w:val="19"/>
                <w:szCs w:val="19"/>
              </w:rPr>
              <w:t>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B5B4175">
            <w:pPr>
              <w:jc w:val="left"/>
            </w:pPr>
          </w:p>
        </w:tc>
      </w:tr>
      <w:tr w14:paraId="58A3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BDABA08">
            <w:pPr>
              <w:jc w:val="left"/>
            </w:pPr>
            <w:r>
              <w:rPr>
                <w:rFonts w:ascii="Calibri" w:hAnsi="Calibri" w:eastAsia="Calibri" w:cs="Calibri"/>
                <w:sz w:val="19"/>
                <w:szCs w:val="19"/>
              </w:rPr>
              <w:t>Total (out of 10)</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AEAB1E">
            <w:pPr>
              <w:jc w:val="center"/>
            </w:pPr>
            <w:r>
              <w:rPr>
                <w:rFonts w:ascii="Calibri" w:hAnsi="Calibri" w:eastAsia="Calibri" w:cs="Calibri"/>
                <w:sz w:val="19"/>
                <w:szCs w:val="19"/>
              </w:rPr>
              <w:t>10</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334B90">
            <w:pPr>
              <w:jc w:val="left"/>
            </w:pPr>
          </w:p>
        </w:tc>
      </w:tr>
    </w:tbl>
    <w:p w14:paraId="296D7EAC">
      <w:pPr>
        <w:spacing w:before="200" w:after="400"/>
      </w:pPr>
      <w:r>
        <w:rPr>
          <w:rFonts w:ascii="Calibri" w:hAnsi="Calibri" w:eastAsia="Calibri" w:cs="Calibri"/>
          <w:b/>
          <w:bCs/>
          <w:sz w:val="21"/>
          <w:szCs w:val="21"/>
        </w:rPr>
        <w:t>Faculty Remarks:</w:t>
      </w:r>
    </w:p>
    <w:p w14:paraId="41F8B43F">
      <w:pPr>
        <w:spacing w:before="200" w:after="140"/>
      </w:pPr>
      <w:r>
        <w:rPr>
          <w:rFonts w:ascii="Calibri" w:hAnsi="Calibri" w:eastAsia="Calibri" w:cs="Calibri"/>
          <w:b/>
          <w:bCs/>
          <w:sz w:val="21"/>
          <w:szCs w:val="21"/>
        </w:rPr>
        <w:t xml:space="preserve">Faculty Mentor Signature: </w:t>
      </w:r>
      <w:r>
        <w:rPr>
          <w:rFonts w:ascii="Calibri" w:hAnsi="Calibri" w:eastAsia="Calibri" w:cs="Calibri"/>
          <w:sz w:val="21"/>
          <w:szCs w:val="21"/>
        </w:rPr>
        <w:t>_________________________________________</w:t>
      </w:r>
    </w:p>
    <w:p w14:paraId="2ABCE056">
      <w:pPr>
        <w:spacing w:before="200" w:after="140"/>
        <w:rPr>
          <w:rFonts w:hint="default"/>
          <w:lang w:val="en-US"/>
        </w:rPr>
      </w:pPr>
      <w:r>
        <w:rPr>
          <w:rFonts w:ascii="Calibri" w:hAnsi="Calibri" w:eastAsia="Calibri" w:cs="Calibri"/>
          <w:b/>
          <w:bCs/>
          <w:sz w:val="21"/>
          <w:szCs w:val="21"/>
        </w:rPr>
        <w:t xml:space="preserve">Date: </w:t>
      </w:r>
      <w:r>
        <w:rPr>
          <w:rFonts w:hint="default" w:cs="Calibri"/>
          <w:b/>
          <w:bCs/>
          <w:sz w:val="21"/>
          <w:szCs w:val="21"/>
          <w:lang w:val="en-US"/>
        </w:rPr>
        <w:t>21-10-2026</w:t>
      </w:r>
    </w:p>
    <w:p w14:paraId="3B5FC0A2">
      <w:r>
        <w:br w:type="page"/>
      </w:r>
    </w:p>
    <w:p w14:paraId="4FC71628">
      <w:pPr>
        <w:keepLines/>
        <w:shd w:val="clear" w:fill="EAF2FA"/>
        <w:spacing w:after="0" w:line="230" w:lineRule="auto"/>
        <w:ind w:left="60" w:right="60"/>
      </w:pPr>
    </w:p>
    <w:sectPr>
      <w:footerReference r:id="rId3" w:type="default"/>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A9AB9">
    <w:pPr>
      <w:jc w:val="center"/>
    </w:pPr>
    <w:r>
      <w:rPr>
        <w:rFonts w:ascii="Calibri" w:hAnsi="Calibri" w:eastAsia="Calibri" w:cs="Calibri"/>
        <w:color w:val="555555"/>
        <w:sz w:val="17"/>
        <w:szCs w:val="17"/>
      </w:rPr>
      <w:t xml:space="preserve">Stock Price Trend Analysis Using Historical Data (NVDA) — Page </w:t>
    </w:r>
    <w:r>
      <w:rPr>
        <w:rFonts w:ascii="Calibri" w:hAnsi="Calibri" w:eastAsia="Calibri" w:cs="Calibri"/>
        <w:color w:val="555555"/>
        <w:sz w:val="17"/>
        <w:szCs w:val="17"/>
      </w:rPr>
      <w:fldChar w:fldCharType="begin"/>
    </w:r>
    <w:r>
      <w:rPr>
        <w:rFonts w:ascii="Calibri" w:hAnsi="Calibri" w:eastAsia="Calibri" w:cs="Calibri"/>
        <w:color w:val="555555"/>
        <w:sz w:val="17"/>
        <w:szCs w:val="17"/>
      </w:rPr>
      <w:instrText xml:space="preserve">PAGE</w:instrText>
    </w:r>
    <w:r>
      <w:rPr>
        <w:rFonts w:ascii="Calibri" w:hAnsi="Calibri" w:eastAsia="Calibri" w:cs="Calibri"/>
        <w:color w:val="555555"/>
        <w:sz w:val="17"/>
        <w:szCs w:val="17"/>
      </w:rPr>
      <w:fldChar w:fldCharType="separate"/>
    </w:r>
    <w:r>
      <w:rPr>
        <w:rFonts w:ascii="Calibri" w:hAnsi="Calibri" w:eastAsia="Calibri" w:cs="Calibri"/>
        <w:color w:val="555555"/>
        <w:sz w:val="17"/>
        <w:szCs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none"/>
      <w:lvlText w:val=""/>
      <w:lvlJc w:val="left"/>
      <w:pPr>
        <w:ind w:left="0" w:firstLine="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28A314E9"/>
    <w:rsid w:val="7DF32A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320" w:after="160"/>
      <w:outlineLvl w:val="0"/>
    </w:pPr>
    <w:rPr>
      <w:rFonts w:ascii="Calibri" w:hAnsi="Calibri" w:eastAsia="Calibri" w:cs="Calibri"/>
      <w:b/>
      <w:bCs/>
      <w:color w:val="1F4E79"/>
      <w:sz w:val="26"/>
      <w:szCs w:val="26"/>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5509</Words>
  <Characters>35901</Characters>
  <TotalTime>3</TotalTime>
  <ScaleCrop>false</ScaleCrop>
  <LinksUpToDate>false</LinksUpToDate>
  <CharactersWithSpaces>43718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2026-10-19T15:46:00Z</dcterms:created>
  <dc:creator>Un-named</dc:creator>
  <cp:lastModifiedBy>WPS_1664417702</cp:lastModifiedBy>
  <dcterms:modified xsi:type="dcterms:W3CDTF">2026-10-19T15:56:13Z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eyJoZGlkIjoiMTYyNDEzZjAyYTU3ZTYwNDA1ODk2NmRkMTQ1YTMxODciLCJ1c2VySWQiOiI1NjczMTM2MTYwMTEifQ==</vt:lpwstr>
  </property>
  <property fmtid="{D5CDD505-2E9C-101B-9397-08002B2CF9AE}" pid="3" name="KSOProductBuildVer">
    <vt:lpwstr>1033-12.1.0.29162</vt:lpwstr>
  </property>
  <property fmtid="{D5CDD505-2E9C-101B-9397-08002B2CF9AE}" pid="4" name="ICV">
    <vt:lpwstr>BBE1C1452EAF4B5C88BE8EF6C96EDA51_12</vt:lpwstr>
  </property>
</Properties>
</file>