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Georgia" w:hAnsi="Georgia"/>
          <w:b/>
          <w:color w:val="3D2A18"/>
          <w:sz w:val="96"/>
        </w:rPr>
        <w:t>OSCRSJ</w:t>
      </w:r>
    </w:p>
    <w:p>
      <w:pPr>
        <w:spacing w:after="720"/>
        <w:jc w:val="center"/>
      </w:pPr>
      <w:r>
        <w:rPr>
          <w:rFonts w:ascii="Calibri" w:hAnsi="Calibri"/>
          <w:b/>
          <w:color w:val="664930"/>
          <w:sz w:val="20"/>
        </w:rPr>
        <w:t>PEER REVIEWED  ·  QUARTERLY</w:t>
      </w:r>
    </w:p>
    <w:p>
      <w:pPr>
        <w:spacing w:after="960"/>
        <w:jc w:val="center"/>
      </w:pPr>
      <w:r>
        <w:rPr>
          <w:rFonts w:ascii="Georgia" w:hAnsi="Georgia"/>
          <w:i/>
          <w:color w:val="3D2A18"/>
          <w:sz w:val="32"/>
        </w:rPr>
        <w:t>Orthopedic Surgery Case Reports &amp; Series Journal</w:t>
      </w:r>
    </w:p>
    <w:p>
      <w:pPr>
        <w:spacing w:after="160"/>
        <w:jc w:val="center"/>
      </w:pPr>
      <w:r>
        <w:rPr>
          <w:rFonts w:ascii="Georgia" w:hAnsi="Georgia"/>
          <w:b/>
          <w:color w:val="3D2A18"/>
          <w:sz w:val="48"/>
        </w:rPr>
        <w:t>Author Manuscript Template</w:t>
      </w:r>
    </w:p>
    <w:p>
      <w:pPr>
        <w:spacing w:after="1440"/>
        <w:jc w:val="center"/>
      </w:pPr>
      <w:r>
        <w:rPr>
          <w:rFonts w:ascii="Calibri" w:hAnsi="Calibri"/>
          <w:color w:val="664930"/>
          <w:sz w:val="22"/>
        </w:rPr>
        <w:t>Version 1.0  ·  2026</w:t>
      </w:r>
    </w:p>
    <w:p>
      <w:pPr>
        <w:jc w:val="center"/>
      </w:pPr>
      <w:r>
        <w:rPr>
          <w:b/>
          <w:color w:val="3D2A18"/>
          <w:sz w:val="28"/>
        </w:rPr>
        <w:t>Before You Begin</w:t>
      </w:r>
    </w:p>
    <w:p>
      <w:pPr>
        <w:spacing w:after="360"/>
        <w:jc w:val="center"/>
      </w:pPr>
      <w:r>
        <w:rPr>
          <w:rFonts w:ascii="Calibri" w:hAnsi="Calibri"/>
          <w:i/>
          <w:color w:val="664930"/>
          <w:sz w:val="22"/>
        </w:rPr>
        <w:t>This template encodes OSCRSJ's submission requirements as Word styles. Use the styles already defined in the Style Pane — do not introduce your own.</w:t>
      </w:r>
    </w:p>
    <w:p>
      <w:pPr>
        <w:spacing w:after="80"/>
        <w:ind w:left="720"/>
      </w:pPr>
      <w:r>
        <w:rPr>
          <w:rFonts w:ascii="Calibri" w:hAnsi="Calibri"/>
          <w:color w:val="664930"/>
          <w:sz w:val="22"/>
        </w:rPr>
        <w:t xml:space="preserve">□  </w:t>
      </w:r>
      <w:r>
        <w:rPr>
          <w:rFonts w:ascii="Calibri" w:hAnsi="Calibri"/>
          <w:color w:val="333333"/>
          <w:sz w:val="22"/>
        </w:rPr>
        <w:t>Read the Guide for Authors at oscrsj.com/guide-for-authors before drafting.</w:t>
      </w:r>
    </w:p>
    <w:p>
      <w:pPr>
        <w:spacing w:after="80"/>
        <w:ind w:left="720"/>
      </w:pPr>
      <w:r>
        <w:rPr>
          <w:rFonts w:ascii="Calibri" w:hAnsi="Calibri"/>
          <w:color w:val="664930"/>
          <w:sz w:val="22"/>
        </w:rPr>
        <w:t xml:space="preserve">□  </w:t>
      </w:r>
      <w:r>
        <w:rPr>
          <w:rFonts w:ascii="Calibri" w:hAnsi="Calibri"/>
          <w:color w:val="333333"/>
          <w:sz w:val="22"/>
        </w:rPr>
        <w:t>Use Heading 1, Heading 2, Heading 3, and Heading 4 only — never Heading 5+.</w:t>
      </w:r>
    </w:p>
    <w:p>
      <w:pPr>
        <w:spacing w:after="80"/>
        <w:ind w:left="720"/>
      </w:pPr>
      <w:r>
        <w:rPr>
          <w:rFonts w:ascii="Calibri" w:hAnsi="Calibri"/>
          <w:color w:val="664930"/>
          <w:sz w:val="22"/>
        </w:rPr>
        <w:t xml:space="preserve">□  </w:t>
      </w:r>
      <w:r>
        <w:rPr>
          <w:rFonts w:ascii="Calibri" w:hAnsi="Calibri"/>
          <w:color w:val="333333"/>
          <w:sz w:val="22"/>
        </w:rPr>
        <w:t>Number references manually as [1], [2], [3] … in citation order. Do not use Word's auto-numbered list feature.</w:t>
      </w:r>
    </w:p>
    <w:p>
      <w:pPr>
        <w:spacing w:after="80"/>
        <w:ind w:left="720"/>
      </w:pPr>
      <w:r>
        <w:rPr>
          <w:rFonts w:ascii="Calibri" w:hAnsi="Calibri"/>
          <w:color w:val="664930"/>
          <w:sz w:val="22"/>
        </w:rPr>
        <w:t xml:space="preserve">□  </w:t>
      </w:r>
      <w:r>
        <w:rPr>
          <w:rFonts w:ascii="Calibri" w:hAnsi="Calibri"/>
          <w:color w:val="333333"/>
          <w:sz w:val="22"/>
        </w:rPr>
        <w:t>Place your References on a separate page. Insert a hard page break (Ctrl+Enter / Cmd+Enter) immediately before the 'References' heading.</w:t>
      </w:r>
    </w:p>
    <w:p>
      <w:pPr>
        <w:spacing w:after="80"/>
        <w:ind w:left="720"/>
      </w:pPr>
      <w:r>
        <w:rPr>
          <w:rFonts w:ascii="Calibri" w:hAnsi="Calibri"/>
          <w:color w:val="664930"/>
          <w:sz w:val="22"/>
        </w:rPr>
        <w:t xml:space="preserve">□  </w:t>
      </w:r>
      <w:r>
        <w:rPr>
          <w:rFonts w:ascii="Calibri" w:hAnsi="Calibri"/>
          <w:color w:val="333333"/>
          <w:sz w:val="22"/>
        </w:rPr>
        <w:t>Use the named 'Figure Caption', 'Table Caption', 'Block Quote', and 'Patient Consent Statement' styles (visible in the Style Pane) — not ad hoc formatting.</w:t>
      </w:r>
    </w:p>
    <w:p>
      <w:pPr>
        <w:spacing w:after="80"/>
        <w:ind w:left="720"/>
      </w:pPr>
      <w:r>
        <w:rPr>
          <w:rFonts w:ascii="Calibri" w:hAnsi="Calibri"/>
          <w:color w:val="664930"/>
          <w:sz w:val="22"/>
        </w:rPr>
        <w:t xml:space="preserve">□  </w:t>
      </w:r>
      <w:r>
        <w:rPr>
          <w:rFonts w:ascii="Calibri" w:hAnsi="Calibri"/>
          <w:color w:val="333333"/>
          <w:sz w:val="22"/>
        </w:rPr>
        <w:t>Embedded images: ≤ 2 MB each, ≤ 10 MB total. Submit your high-resolution figures as separate PNG/TIFF files via Step 2 of the submission portal.</w:t>
      </w:r>
    </w:p>
    <w:p>
      <w:pPr>
        <w:spacing w:after="80"/>
        <w:ind w:left="720"/>
      </w:pPr>
      <w:r>
        <w:rPr>
          <w:rFonts w:ascii="Calibri" w:hAnsi="Calibri"/>
          <w:color w:val="664930"/>
          <w:sz w:val="22"/>
        </w:rPr>
        <w:t xml:space="preserve">□  </w:t>
      </w:r>
      <w:r>
        <w:rPr>
          <w:rFonts w:ascii="Calibri" w:hAnsi="Calibri"/>
          <w:color w:val="333333"/>
          <w:sz w:val="22"/>
        </w:rPr>
        <w:t>Use single-level tables only. No nested tables. Apply a named table style.</w:t>
      </w:r>
    </w:p>
    <w:p>
      <w:pPr>
        <w:spacing w:after="80"/>
        <w:ind w:left="720"/>
      </w:pPr>
      <w:r>
        <w:rPr>
          <w:rFonts w:ascii="Calibri" w:hAnsi="Calibri"/>
          <w:color w:val="664930"/>
          <w:sz w:val="22"/>
        </w:rPr>
        <w:t xml:space="preserve">□  </w:t>
      </w:r>
      <w:r>
        <w:rPr>
          <w:rFonts w:ascii="Calibri" w:hAnsi="Calibri"/>
          <w:color w:val="333333"/>
          <w:sz w:val="22"/>
        </w:rPr>
        <w:t>Do not use Word's footnotes feature. All footnotes belong in the Declarations section.</w:t>
      </w:r>
    </w:p>
    <w:p>
      <w:pPr>
        <w:spacing w:after="80"/>
        <w:ind w:left="720"/>
      </w:pPr>
      <w:r>
        <w:rPr>
          <w:rFonts w:ascii="Calibri" w:hAnsi="Calibri"/>
          <w:color w:val="664930"/>
          <w:sz w:val="22"/>
        </w:rPr>
        <w:t xml:space="preserve">□  </w:t>
      </w:r>
      <w:r>
        <w:rPr>
          <w:rFonts w:ascii="Calibri" w:hAnsi="Calibri"/>
          <w:color w:val="333333"/>
          <w:sz w:val="22"/>
        </w:rPr>
        <w:t>Find-and-replace every [REPLACE WITH YOUR CONTENT] marker before submission.</w:t>
      </w:r>
    </w:p>
    <w:p>
      <w:pPr>
        <w:spacing w:after="80"/>
        <w:ind w:left="720"/>
      </w:pPr>
      <w:r>
        <w:rPr>
          <w:rFonts w:ascii="Calibri" w:hAnsi="Calibri"/>
          <w:color w:val="664930"/>
          <w:sz w:val="22"/>
        </w:rPr>
        <w:t xml:space="preserve">□  </w:t>
      </w:r>
      <w:r>
        <w:rPr>
          <w:rFonts w:ascii="Calibri" w:hAnsi="Calibri"/>
          <w:color w:val="333333"/>
          <w:sz w:val="22"/>
        </w:rPr>
        <w:t>Delete every [INSTRUCTIONS — DELETE BEFORE SUBMISSION] block before submission.</w:t>
      </w:r>
    </w:p>
    <w:p>
      <w:r>
        <w:br w:type="page"/>
      </w:r>
    </w:p>
    <w:p>
      <w:pPr>
        <w:spacing w:before="40" w:after="160"/>
        <w:ind w:left="360" w:right="360"/>
      </w:pPr>
      <w:r>
        <w:rPr>
          <w:b/>
          <w:color w:val="CC6600"/>
          <w:sz w:val="18"/>
        </w:rPr>
        <w:t xml:space="preserve">[INSTRUCTIONS — DELETE BEFORE SUBMISSION] </w:t>
      </w:r>
      <w:r>
        <w:rPr>
          <w:i/>
          <w:color w:val="664422"/>
          <w:sz w:val="18"/>
        </w:rPr>
        <w:t>TITLE — replace with your manuscript's full title. Sentence-case for clinical terms; no period at the end. Approximately 12–25 words is typical.</w:t>
      </w:r>
    </w:p>
    <w:p>
      <w:pPr>
        <w:pStyle w:val="Heading1"/>
      </w:pPr>
      <w:r>
        <w:rPr>
          <w:sz w:val="40"/>
        </w:rPr>
        <w:t>Iatrogenic Median Nerve Injury Following Closed Reduction and Percutaneous Pinning of a Pediatric Supracondylar Humerus Fracture: A Case Report</w:t>
      </w:r>
    </w:p>
    <w:p>
      <w:pPr>
        <w:spacing w:before="40" w:after="160"/>
        <w:ind w:left="360" w:right="360"/>
      </w:pPr>
      <w:r>
        <w:rPr>
          <w:b/>
          <w:color w:val="CC6600"/>
          <w:sz w:val="18"/>
        </w:rPr>
        <w:t xml:space="preserve">[INSTRUCTIONS — DELETE BEFORE SUBMISSION] </w:t>
      </w:r>
      <w:r>
        <w:rPr>
          <w:i/>
          <w:color w:val="664422"/>
          <w:sz w:val="18"/>
        </w:rPr>
        <w:t>RUNNING TITLE — used in the page-2+ running header on the published PDF. Hard cap: 45 characters including spaces. The submission portal will reject longer running titles. Keep it short and recognizable.</w:t>
      </w:r>
    </w:p>
    <w:p>
      <w:pPr>
        <w:pStyle w:val="Heading4"/>
      </w:pPr>
      <w:r>
        <w:rPr>
          <w:b/>
        </w:rPr>
        <w:t xml:space="preserve">Running title: </w:t>
      </w:r>
      <w:r>
        <w:t>Iatrogenic Median Nerve After Pinning</w:t>
      </w:r>
    </w:p>
    <w:p>
      <w:pPr>
        <w:spacing w:before="40" w:after="160"/>
        <w:ind w:left="360" w:right="360"/>
      </w:pPr>
      <w:r>
        <w:rPr>
          <w:b/>
          <w:color w:val="CC6600"/>
          <w:sz w:val="18"/>
        </w:rPr>
        <w:t xml:space="preserve">[INSTRUCTIONS — DELETE BEFORE SUBMISSION] </w:t>
      </w:r>
      <w:r>
        <w:rPr>
          <w:i/>
          <w:color w:val="664422"/>
          <w:sz w:val="18"/>
        </w:rPr>
        <w:t>AUTHORS — list authors in publication order. Use full given name (or initial) + middle initial + family name + degrees. Mark the corresponding author with an asterisk (*) and equal-contribution co-first authors with a dagger (†).</w:t>
      </w:r>
    </w:p>
    <w:p>
      <w:pPr>
        <w:spacing w:after="120"/>
      </w:pPr>
      <w:r>
        <w:rPr>
          <w:rFonts w:ascii="Calibri" w:hAnsi="Calibri"/>
          <w:b/>
          <w:sz w:val="24"/>
        </w:rPr>
        <w:t>Priya R. Sundaram, MD*†</w:t>
      </w:r>
      <w:r>
        <w:rPr>
          <w:rFonts w:ascii="Calibri" w:hAnsi="Calibri"/>
          <w:sz w:val="18"/>
        </w:rPr>
        <w:t xml:space="preserve">¹  </w:t>
      </w:r>
      <w:r>
        <w:rPr>
          <w:rFonts w:ascii="Calibri" w:hAnsi="Calibri"/>
          <w:b/>
          <w:sz w:val="24"/>
        </w:rPr>
        <w:t>Daniel J. O'Brien, MD†</w:t>
      </w:r>
      <w:r>
        <w:rPr>
          <w:rFonts w:ascii="Calibri" w:hAnsi="Calibri"/>
          <w:sz w:val="18"/>
        </w:rPr>
        <w:t xml:space="preserve">¹  </w:t>
      </w:r>
      <w:r>
        <w:rPr>
          <w:rFonts w:ascii="Calibri" w:hAnsi="Calibri"/>
          <w:b/>
          <w:sz w:val="24"/>
        </w:rPr>
        <w:t>Lena Fernández-Romero, DO</w:t>
      </w:r>
      <w:r>
        <w:rPr>
          <w:rFonts w:ascii="Calibri" w:hAnsi="Calibri"/>
          <w:sz w:val="18"/>
        </w:rPr>
        <w:t xml:space="preserve">¹  </w:t>
      </w:r>
      <w:r>
        <w:rPr>
          <w:rFonts w:ascii="Calibri" w:hAnsi="Calibri"/>
          <w:b/>
          <w:sz w:val="24"/>
        </w:rPr>
        <w:t>Christopher M. Yeoh, MD, PhD</w:t>
      </w:r>
      <w:r>
        <w:rPr>
          <w:rFonts w:ascii="Calibri" w:hAnsi="Calibri"/>
          <w:sz w:val="18"/>
        </w:rPr>
        <w:t>¹,²</w:t>
      </w:r>
    </w:p>
    <w:p>
      <w:r>
        <w:rPr>
          <w:rFonts w:ascii="Calibri" w:hAnsi="Calibri"/>
          <w:i/>
          <w:color w:val="664930"/>
          <w:sz w:val="20"/>
        </w:rPr>
        <w:t>¹  Department of Orthopaedic Surgery, Sample Academic Medical Center, Boston, Massachusetts, USA</w:t>
      </w:r>
    </w:p>
    <w:p>
      <w:pPr>
        <w:spacing w:after="120"/>
      </w:pPr>
      <w:r>
        <w:rPr>
          <w:rFonts w:ascii="Calibri" w:hAnsi="Calibri"/>
          <w:i/>
          <w:color w:val="664930"/>
          <w:sz w:val="20"/>
        </w:rPr>
        <w:t>²  Department of Pediatric Orthopaedics, Sample Children's Hospital, Boston, Massachusetts, USA</w:t>
      </w:r>
    </w:p>
    <w:p>
      <w:r>
        <w:rPr>
          <w:rFonts w:ascii="Calibri" w:hAnsi="Calibri"/>
          <w:b/>
          <w:sz w:val="20"/>
        </w:rPr>
        <w:t xml:space="preserve">*  Corresponding author: </w:t>
      </w:r>
      <w:r>
        <w:rPr>
          <w:rFonts w:ascii="Calibri" w:hAnsi="Calibri"/>
          <w:sz w:val="20"/>
        </w:rPr>
        <w:t>Priya R. Sundaram, MD — psundaram@example.edu — ORCID: 0000-0002-1234-5678</w:t>
      </w:r>
    </w:p>
    <w:p>
      <w:pPr>
        <w:spacing w:after="360"/>
      </w:pPr>
      <w:r>
        <w:rPr>
          <w:rFonts w:ascii="Calibri" w:hAnsi="Calibri"/>
          <w:b/>
          <w:sz w:val="20"/>
        </w:rPr>
        <w:t xml:space="preserve">†  </w:t>
      </w:r>
      <w:r>
        <w:rPr>
          <w:rFonts w:ascii="Calibri" w:hAnsi="Calibri"/>
          <w:sz w:val="20"/>
        </w:rPr>
        <w:t>P.R. Sundaram and D.J. O'Brien contributed equally to this work and share first authorship.</w:t>
      </w:r>
    </w:p>
    <w:p>
      <w:pPr>
        <w:pStyle w:val="Heading1"/>
      </w:pPr>
      <w:r>
        <w:t>Abstract</w:t>
      </w:r>
    </w:p>
    <w:p>
      <w:pPr>
        <w:spacing w:before="40" w:after="160"/>
        <w:ind w:left="360" w:right="360"/>
      </w:pPr>
      <w:r>
        <w:rPr>
          <w:b/>
          <w:color w:val="CC6600"/>
          <w:sz w:val="18"/>
        </w:rPr>
        <w:t xml:space="preserve">[INSTRUCTIONS — DELETE BEFORE SUBMISSION] </w:t>
      </w:r>
      <w:r>
        <w:rPr>
          <w:i/>
          <w:color w:val="664422"/>
          <w:sz w:val="18"/>
        </w:rPr>
        <w:t>STRUCTURED ABSTRACT — use the four bolded labels exactly as shown for case reports: Case · Diagnosis · Intervention · Conclusion. Total ≤250 words (case reports). Each section is one short paragraph. The labels below use the 'Heading 4' style — keep them on Heading 4 so the renderer can map them to JATS &lt;abstract&gt;&lt;sec&gt; children.</w:t>
      </w:r>
    </w:p>
    <w:p>
      <w:pPr>
        <w:pStyle w:val="Heading4"/>
      </w:pPr>
      <w:r>
        <w:t>Case</w:t>
      </w:r>
    </w:p>
    <w:p>
      <w:pPr>
        <w:pStyle w:val="BodyTextPlain"/>
      </w:pPr>
      <w:r>
        <w:t>A 7-year-old previously healthy right-hand-dominant boy presented after falling from monkey bars onto an outstretched right arm, sustaining a Gartland type III extension-type supracondylar humerus fracture without preoperative neurovascular deficit.</w:t>
      </w:r>
    </w:p>
    <w:p>
      <w:pPr>
        <w:pStyle w:val="Heading4"/>
      </w:pPr>
      <w:r>
        <w:t>Diagnosis</w:t>
      </w:r>
    </w:p>
    <w:p>
      <w:pPr>
        <w:pStyle w:val="BodyTextPlain"/>
      </w:pPr>
      <w:r>
        <w:t>Postoperatively, the patient developed a complete sensorimotor median nerve palsy at the wrist with absent thenar opposition and loss of two-point discrimination over the radial three digits. High-resolution ultrasound localized the deficit to a kinked median nerve coursing across a medially placed lateral K-wire.</w:t>
      </w:r>
    </w:p>
    <w:p>
      <w:pPr>
        <w:pStyle w:val="Heading4"/>
      </w:pPr>
      <w:r>
        <w:t>Intervention</w:t>
      </w:r>
    </w:p>
    <w:p>
      <w:pPr>
        <w:pStyle w:val="BodyTextPlain"/>
      </w:pPr>
      <w:r>
        <w:t>Operative exploration through a limited anterior approach demonstrated tenting of the median nerve over a malpositioned K-wire. The wire was removed, the nerve was decompressed, and the construct was revised with two crossed lateral-entry wires placed under image intensifier confirmation. Full motor and sensory recovery was achieved by 16 weeks postoperatively.</w:t>
      </w:r>
    </w:p>
    <w:p>
      <w:pPr>
        <w:pStyle w:val="Heading4"/>
      </w:pPr>
      <w:r>
        <w:t>Conclusion</w:t>
      </w:r>
    </w:p>
    <w:p>
      <w:pPr>
        <w:pStyle w:val="BodyTextPlain"/>
      </w:pPr>
      <w:r>
        <w:t>Iatrogenic median nerve injury after closed reduction and percutaneous pinning of pediatric supracondylar humerus fractures is rare but recoverable when recognized early. Postoperative neurovascular examination should be repeated in recovery, and ultrasound is a useful first-line imaging modality when a wire-related nerve injury is suspected.</w:t>
      </w:r>
    </w:p>
    <w:p>
      <w:pPr>
        <w:spacing w:before="40" w:after="160"/>
        <w:ind w:left="360" w:right="360"/>
      </w:pPr>
      <w:r>
        <w:rPr>
          <w:b/>
          <w:color w:val="CC6600"/>
          <w:sz w:val="18"/>
        </w:rPr>
        <w:t xml:space="preserve">[INSTRUCTIONS — DELETE BEFORE SUBMISSION] </w:t>
      </w:r>
      <w:r>
        <w:rPr>
          <w:i/>
          <w:color w:val="664422"/>
          <w:sz w:val="18"/>
        </w:rPr>
        <w:t>KEYWORDS — 3 to 5 keywords, comma-separated. Use MeSH terms where applicable (see https://www.nlm.nih.gov/mesh/).</w:t>
      </w:r>
    </w:p>
    <w:p>
      <w:pPr>
        <w:spacing w:after="360"/>
      </w:pPr>
      <w:r>
        <w:rPr>
          <w:rFonts w:ascii="Calibri" w:hAnsi="Calibri"/>
          <w:b/>
          <w:sz w:val="22"/>
        </w:rPr>
        <w:t xml:space="preserve">Keywords: </w:t>
      </w:r>
      <w:r>
        <w:rPr>
          <w:rFonts w:ascii="Calibri" w:hAnsi="Calibri"/>
          <w:i/>
          <w:sz w:val="22"/>
        </w:rPr>
        <w:t>supracondylar humerus fracture; median nerve; iatrogenic injury; pediatric orthopedics; percutaneous pinning</w:t>
      </w:r>
    </w:p>
    <w:p>
      <w:pPr>
        <w:pStyle w:val="Heading1"/>
      </w:pPr>
      <w:r>
        <w:t>Introduction</w:t>
      </w:r>
    </w:p>
    <w:p>
      <w:pPr>
        <w:spacing w:before="40" w:after="160"/>
        <w:ind w:left="360" w:right="360"/>
      </w:pPr>
      <w:r>
        <w:rPr>
          <w:b/>
          <w:color w:val="CC6600"/>
          <w:sz w:val="18"/>
        </w:rPr>
        <w:t xml:space="preserve">[INSTRUCTIONS — DELETE BEFORE SUBMISSION] </w:t>
      </w:r>
      <w:r>
        <w:rPr>
          <w:i/>
          <w:color w:val="664422"/>
          <w:sz w:val="18"/>
        </w:rPr>
        <w:t>INTRODUCTION — 2 to 4 short paragraphs. Establish clinical context, summarize what is and isn't known, and end with a single sentence stating what this case report adds. Cite references using bracketed numbers in citation order: [1], [2,3], [4–6]. Do not use Word's auto-citation tools.</w:t>
      </w:r>
    </w:p>
    <w:p>
      <w:pPr>
        <w:pStyle w:val="BodyTextPlain"/>
      </w:pPr>
      <w:r>
        <w:t>Supracondylar humerus fractures are the most common elbow fracture in children, accounting for approximately 60–70% of all pediatric elbow fractures and most often occurring between the ages of five and seven years [1]. Closed reduction and percutaneous pinning is the standard of care for displaced (Gartland type II and III) extension-type fractures and yields excellent radiographic and functional outcomes when performed with attention to wire trajectory and stability [2,3].</w:t>
      </w:r>
    </w:p>
    <w:p>
      <w:pPr>
        <w:pStyle w:val="BodyTextPlain"/>
      </w:pPr>
      <w:r>
        <w:t>Iatrogenic neurovascular injury is a recognized but uncommon complication. The reported incidence of post-pinning ulnar nerve injury attributable to medial-entry K-wires ranges from 1% to 5% in modern series [4]. Median nerve injury is rarer still and has been reported predominantly in association with anterior interosseous branch involvement after preoperative neurologic compromise; iatrogenic isolated median nerve injury attributable to a percutaneous K-wire has been described only in case reports [5,6].</w:t>
      </w:r>
    </w:p>
    <w:p>
      <w:pPr>
        <w:pStyle w:val="BodyTextPlain"/>
      </w:pPr>
      <w:r>
        <w:t>We describe a case of complete iatrogenic median nerve palsy in a 7-year-old boy following closed reduction and percutaneous pinning of a Gartland type III supracondylar humerus fracture, with full motor and sensory recovery after wire removal and nerve decompression. We highlight the role of high-resolution ultrasound in localizing the lesion and discuss surgical decision-making at the time of revision pinning. The patient's parent provided written informed consent for publication of this case report and the accompanying images.</w:t>
      </w:r>
    </w:p>
    <w:p>
      <w:pPr>
        <w:pStyle w:val="Heading1"/>
      </w:pPr>
      <w:r>
        <w:t>Case Presentation</w:t>
      </w:r>
    </w:p>
    <w:p>
      <w:pPr>
        <w:pStyle w:val="Heading2"/>
      </w:pPr>
      <w:r>
        <w:t>Clinical Presentation</w:t>
      </w:r>
    </w:p>
    <w:p>
      <w:pPr>
        <w:spacing w:before="40" w:after="160"/>
        <w:ind w:left="360" w:right="360"/>
      </w:pPr>
      <w:r>
        <w:rPr>
          <w:b/>
          <w:color w:val="CC6600"/>
          <w:sz w:val="18"/>
        </w:rPr>
        <w:t xml:space="preserve">[INSTRUCTIONS — DELETE BEFORE SUBMISSION] </w:t>
      </w:r>
      <w:r>
        <w:rPr>
          <w:i/>
          <w:color w:val="664422"/>
          <w:sz w:val="18"/>
        </w:rPr>
        <w:t>CASE PRESENTATION — describe the patient using Heading 2 subsections (Clinical Presentation · Imaging and Workup · Operative Management · Postoperative Course). Use Heading 3 for any third-level breakdown. De-identify the patient before submission.</w:t>
      </w:r>
    </w:p>
    <w:p>
      <w:pPr>
        <w:pStyle w:val="BodyTextPlain"/>
      </w:pPr>
      <w:r>
        <w:t>A 7-year-old previously healthy right-hand-dominant boy presented to the emergency department after a fall from monkey bars onto an outstretched right arm, with immediate pain and inability to use the right elbow. Initial neurovascular examination performed by the on-call resident and confirmed by the attending demonstrated intact radial, median, and ulnar nerve function with palpable radial pulse and well-perfused fingertips. The hand was warm, with capillary refill less than 2 seconds.</w:t>
      </w:r>
    </w:p>
    <w:p>
      <w:pPr>
        <w:pStyle w:val="Heading3"/>
      </w:pPr>
      <w:r>
        <w:t>Pre-operative Imaging</w:t>
      </w:r>
    </w:p>
    <w:p>
      <w:pPr>
        <w:pStyle w:val="BodyTextPlain"/>
      </w:pPr>
      <w:r>
        <w:t>Anteroposterior and lateral radiographs demonstrated a Gartland type III extension-type supracondylar humerus fracture with complete posteromedial displacement of the distal fragment (Fig. 1). No associated upper-extremity injury was identified on a complete trauma series.</w:t>
      </w:r>
    </w:p>
    <w:p>
      <w:pPr>
        <w:spacing w:before="40" w:after="160"/>
        <w:ind w:left="360" w:right="360"/>
      </w:pPr>
      <w:r>
        <w:rPr>
          <w:b/>
          <w:color w:val="CC6600"/>
          <w:sz w:val="18"/>
        </w:rPr>
        <w:t xml:space="preserve">[INSTRUCTIONS — DELETE BEFORE SUBMISSION] </w:t>
      </w:r>
      <w:r>
        <w:rPr>
          <w:i/>
          <w:color w:val="664422"/>
          <w:sz w:val="18"/>
        </w:rPr>
        <w:t>FIGURE — embed a screen-resolution preview here so the editor can see what the figure looks like in context. Submit the high-resolution PNG or TIFF file separately via Step 2 of the submission portal (see /dashboard/submit). Embedded images: ≤ 2 MB each, ≤ 10 MB total per manuscript. Do not paste the figure as part of a Word table — embed it as a standalone image. The caption MUST use the named 'Figure Caption' paragraph style (visible in the Style Pane).</w:t>
      </w:r>
    </w:p>
    <w:p>
      <w:pPr>
        <w:spacing w:before="240" w:after="120"/>
        <w:jc w:val="center"/>
      </w:pPr>
      <w:r>
        <w:rPr>
          <w:rFonts w:ascii="Calibri" w:hAnsi="Calibri"/>
          <w:i/>
          <w:color w:val="999999"/>
          <w:sz w:val="22"/>
        </w:rPr>
        <w:t>[Insert Figure 1 here]</w:t>
      </w:r>
    </w:p>
    <w:p>
      <w:pPr>
        <w:pStyle w:val="FigureCaption"/>
      </w:pPr>
      <w:r>
        <w:rPr>
          <w:rFonts w:ascii="Calibri" w:hAnsi="Calibri"/>
          <w:b/>
          <w:sz w:val="20"/>
        </w:rPr>
        <w:t xml:space="preserve">Figure 1. </w:t>
      </w:r>
      <w:r>
        <w:rPr>
          <w:rFonts w:ascii="Calibri" w:hAnsi="Calibri"/>
          <w:i/>
          <w:sz w:val="20"/>
        </w:rPr>
        <w:t>Pre-operative anteroposterior (A) and lateral (B) radiographs of the right elbow demonstrating a Gartland type III extension-type supracondylar humerus fracture with complete posteromedial displacement of the distal fragment.</w:t>
      </w:r>
    </w:p>
    <w:p>
      <w:pPr>
        <w:pStyle w:val="Heading3"/>
      </w:pPr>
      <w:r>
        <w:t>Operative Management</w:t>
      </w:r>
    </w:p>
    <w:p>
      <w:pPr>
        <w:pStyle w:val="BodyTextPlain"/>
      </w:pPr>
      <w:r>
        <w:t>The patient was taken to the operating theater within four hours of presentation. Closed reduction was achieved on the first attempt under fluoroscopic guidance, and the fracture was stabilized with three lateral-entry K-wires (two divergent lateral, one capitellar). The construct was assessed for stability under image intensification and the elbow was immobilized in a long-arm posterior splint at 70° of flexion. Estimated blood loss was less than 20 mL; tourniquet time was 32 minutes. The patient was admitted overnight for neurovascular observation.</w:t>
      </w:r>
    </w:p>
    <w:p>
      <w:pPr>
        <w:spacing w:before="40" w:after="160"/>
        <w:ind w:left="360" w:right="360"/>
      </w:pPr>
      <w:r>
        <w:rPr>
          <w:b/>
          <w:color w:val="CC6600"/>
          <w:sz w:val="18"/>
        </w:rPr>
        <w:t xml:space="preserve">[INSTRUCTIONS — DELETE BEFORE SUBMISSION] </w:t>
      </w:r>
      <w:r>
        <w:rPr>
          <w:i/>
          <w:color w:val="664422"/>
          <w:sz w:val="18"/>
        </w:rPr>
        <w:t>BLOCK QUOTE — use the named 'Block Quote' paragraph style for indented verbatim quotations longer than ~30 words. Use sparingly; most case-report narrative does not require block quotes.</w:t>
      </w:r>
    </w:p>
    <w:p>
      <w:pPr>
        <w:pStyle w:val="BlockQuote"/>
      </w:pPr>
      <w:r>
        <w:t>On post-operative day 1, the bedside neurovascular examination noted: "Right hand: median nerve sensation absent over thumb, index, middle, and radial half of ring finger; thenar opposition 0/5; flexor pollicis longus 0/5. Ulnar and radial distributions intact. Radial pulse palpable; perfusion adequate."</w:t>
      </w:r>
    </w:p>
    <w:p>
      <w:pPr>
        <w:pStyle w:val="Heading3"/>
      </w:pPr>
      <w:r>
        <w:t>Postoperative Course and Recovery</w:t>
      </w:r>
    </w:p>
    <w:p>
      <w:pPr>
        <w:pStyle w:val="BodyTextPlain"/>
      </w:pPr>
      <w:r>
        <w:t>On postoperative day 1, the patient was noted to have a new complete sensorimotor median nerve deficit in the right hand. High-resolution ultrasound performed the same day localized the deficit to a kinked median nerve passing across the most medial of the three lateral-entry K-wires. The patient was returned to the operating theater on postoperative day 2 for wire removal, nerve decompression, and revision pinning. The clinical course is summarized in Table 1.</w:t>
      </w:r>
    </w:p>
    <w:p>
      <w:pPr>
        <w:spacing w:before="40" w:after="160"/>
        <w:ind w:left="360" w:right="360"/>
      </w:pPr>
      <w:r>
        <w:rPr>
          <w:b/>
          <w:color w:val="CC6600"/>
          <w:sz w:val="18"/>
        </w:rPr>
        <w:t xml:space="preserve">[INSTRUCTIONS — DELETE BEFORE SUBMISSION] </w:t>
      </w:r>
      <w:r>
        <w:rPr>
          <w:i/>
          <w:color w:val="664422"/>
          <w:sz w:val="18"/>
        </w:rPr>
        <w:t>TABLE — single-level only. No nested tables. The caption MUST use the named 'Table Caption' style and sit on the line directly above the table. Do not rasterize tables — keep them as real selectable text.</w:t>
      </w:r>
    </w:p>
    <w:p>
      <w:pPr>
        <w:pStyle w:val="TableCaption"/>
      </w:pPr>
      <w:r>
        <w:rPr>
          <w:rFonts w:ascii="Calibri" w:hAnsi="Calibri"/>
          <w:b/>
          <w:sz w:val="20"/>
        </w:rPr>
        <w:t xml:space="preserve">Table 1. </w:t>
      </w:r>
      <w:r>
        <w:rPr>
          <w:rFonts w:ascii="Calibri" w:hAnsi="Calibri"/>
          <w:i/>
          <w:sz w:val="20"/>
        </w:rPr>
        <w:t>Timeline of clinical course and key milestones.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rFonts w:ascii="Calibri" w:hAnsi="Calibri"/>
                <w:b/>
                <w:sz w:val="20"/>
              </w:rPr>
              <w:t>Time point</w:t>
            </w:r>
          </w:p>
        </w:tc>
        <w:tc>
          <w:tcPr>
            <w:tcW w:type="dxa" w:w="3120"/>
          </w:tcPr>
          <w:p>
            <w:r>
              <w:rPr>
                <w:rFonts w:ascii="Calibri" w:hAnsi="Calibri"/>
                <w:b/>
                <w:sz w:val="20"/>
              </w:rPr>
              <w:t>Event</w:t>
            </w:r>
          </w:p>
        </w:tc>
        <w:tc>
          <w:tcPr>
            <w:tcW w:type="dxa" w:w="3120"/>
          </w:tcPr>
          <w:p>
            <w:r>
              <w:rPr>
                <w:rFonts w:ascii="Calibri" w:hAnsi="Calibri"/>
                <w:b/>
                <w:sz w:val="20"/>
              </w:rPr>
              <w:t>Median nerve exam</w:t>
            </w:r>
          </w:p>
        </w:tc>
      </w:tr>
      <w:tr>
        <w:tc>
          <w:tcPr>
            <w:tcW w:type="dxa" w:w="3120"/>
          </w:tcPr>
          <w:p>
            <w:r>
              <w:rPr>
                <w:rFonts w:ascii="Calibri" w:hAnsi="Calibri"/>
                <w:sz w:val="20"/>
              </w:rPr>
              <w:t>Day 0</w:t>
            </w:r>
          </w:p>
        </w:tc>
        <w:tc>
          <w:tcPr>
            <w:tcW w:type="dxa" w:w="3120"/>
          </w:tcPr>
          <w:p>
            <w:r>
              <w:rPr>
                <w:rFonts w:ascii="Calibri" w:hAnsi="Calibri"/>
                <w:sz w:val="20"/>
              </w:rPr>
              <w:t>Fall, presentation, closed reduction + 3 lateral-entry K-wires</w:t>
            </w:r>
          </w:p>
        </w:tc>
        <w:tc>
          <w:tcPr>
            <w:tcW w:type="dxa" w:w="3120"/>
          </w:tcPr>
          <w:p>
            <w:r>
              <w:rPr>
                <w:rFonts w:ascii="Calibri" w:hAnsi="Calibri"/>
                <w:sz w:val="20"/>
              </w:rPr>
              <w:t>Intact</w:t>
            </w:r>
          </w:p>
        </w:tc>
      </w:tr>
      <w:tr>
        <w:tc>
          <w:tcPr>
            <w:tcW w:type="dxa" w:w="3120"/>
          </w:tcPr>
          <w:p>
            <w:r>
              <w:rPr>
                <w:rFonts w:ascii="Calibri" w:hAnsi="Calibri"/>
                <w:sz w:val="20"/>
              </w:rPr>
              <w:t>Day 1</w:t>
            </w:r>
          </w:p>
        </w:tc>
        <w:tc>
          <w:tcPr>
            <w:tcW w:type="dxa" w:w="3120"/>
          </w:tcPr>
          <w:p>
            <w:r>
              <w:rPr>
                <w:rFonts w:ascii="Calibri" w:hAnsi="Calibri"/>
                <w:sz w:val="20"/>
              </w:rPr>
              <w:t>New complete median nerve palsy identified on bedside exam</w:t>
            </w:r>
          </w:p>
        </w:tc>
        <w:tc>
          <w:tcPr>
            <w:tcW w:type="dxa" w:w="3120"/>
          </w:tcPr>
          <w:p>
            <w:r>
              <w:rPr>
                <w:rFonts w:ascii="Calibri" w:hAnsi="Calibri"/>
                <w:sz w:val="20"/>
              </w:rPr>
              <w:t>0/5 motor, anesthetic</w:t>
            </w:r>
          </w:p>
        </w:tc>
      </w:tr>
      <w:tr>
        <w:tc>
          <w:tcPr>
            <w:tcW w:type="dxa" w:w="3120"/>
          </w:tcPr>
          <w:p>
            <w:r>
              <w:rPr>
                <w:rFonts w:ascii="Calibri" w:hAnsi="Calibri"/>
                <w:sz w:val="20"/>
              </w:rPr>
              <w:t>Day 1</w:t>
            </w:r>
          </w:p>
        </w:tc>
        <w:tc>
          <w:tcPr>
            <w:tcW w:type="dxa" w:w="3120"/>
          </w:tcPr>
          <w:p>
            <w:r>
              <w:rPr>
                <w:rFonts w:ascii="Calibri" w:hAnsi="Calibri"/>
                <w:sz w:val="20"/>
              </w:rPr>
              <w:t>High-resolution ultrasound localizes nerve kink at medial K-wire</w:t>
            </w:r>
          </w:p>
        </w:tc>
        <w:tc>
          <w:tcPr>
            <w:tcW w:type="dxa" w:w="3120"/>
          </w:tcPr>
          <w:p>
            <w:r>
              <w:rPr>
                <w:rFonts w:ascii="Calibri" w:hAnsi="Calibri"/>
                <w:sz w:val="20"/>
              </w:rPr>
              <w:t>0/5 motor, anesthetic</w:t>
            </w:r>
          </w:p>
        </w:tc>
      </w:tr>
      <w:tr>
        <w:tc>
          <w:tcPr>
            <w:tcW w:type="dxa" w:w="3120"/>
          </w:tcPr>
          <w:p>
            <w:r>
              <w:rPr>
                <w:rFonts w:ascii="Calibri" w:hAnsi="Calibri"/>
                <w:sz w:val="20"/>
              </w:rPr>
              <w:t>Day 2</w:t>
            </w:r>
          </w:p>
        </w:tc>
        <w:tc>
          <w:tcPr>
            <w:tcW w:type="dxa" w:w="3120"/>
          </w:tcPr>
          <w:p>
            <w:r>
              <w:rPr>
                <w:rFonts w:ascii="Calibri" w:hAnsi="Calibri"/>
                <w:sz w:val="20"/>
              </w:rPr>
              <w:t>Revision: wire removal, nerve decompression, re-pinning</w:t>
            </w:r>
          </w:p>
        </w:tc>
        <w:tc>
          <w:tcPr>
            <w:tcW w:type="dxa" w:w="3120"/>
          </w:tcPr>
          <w:p>
            <w:r>
              <w:rPr>
                <w:rFonts w:ascii="Calibri" w:hAnsi="Calibri"/>
                <w:sz w:val="20"/>
              </w:rPr>
              <w:t>0/5 motor, anesthetic</w:t>
            </w:r>
          </w:p>
        </w:tc>
      </w:tr>
      <w:tr>
        <w:tc>
          <w:tcPr>
            <w:tcW w:type="dxa" w:w="3120"/>
          </w:tcPr>
          <w:p>
            <w:r>
              <w:rPr>
                <w:rFonts w:ascii="Calibri" w:hAnsi="Calibri"/>
                <w:sz w:val="20"/>
              </w:rPr>
              <w:t>Week 4</w:t>
            </w:r>
          </w:p>
        </w:tc>
        <w:tc>
          <w:tcPr>
            <w:tcW w:type="dxa" w:w="3120"/>
          </w:tcPr>
          <w:p>
            <w:r>
              <w:rPr>
                <w:rFonts w:ascii="Calibri" w:hAnsi="Calibri"/>
                <w:sz w:val="20"/>
              </w:rPr>
              <w:t>Pin and splint removal; physical therapy initiated</w:t>
            </w:r>
          </w:p>
        </w:tc>
        <w:tc>
          <w:tcPr>
            <w:tcW w:type="dxa" w:w="3120"/>
          </w:tcPr>
          <w:p>
            <w:r>
              <w:rPr>
                <w:rFonts w:ascii="Calibri" w:hAnsi="Calibri"/>
                <w:sz w:val="20"/>
              </w:rPr>
              <w:t>1/5 motor, paresthesia returning</w:t>
            </w:r>
          </w:p>
        </w:tc>
      </w:tr>
      <w:tr>
        <w:tc>
          <w:tcPr>
            <w:tcW w:type="dxa" w:w="3120"/>
          </w:tcPr>
          <w:p>
            <w:r>
              <w:rPr>
                <w:rFonts w:ascii="Calibri" w:hAnsi="Calibri"/>
                <w:sz w:val="20"/>
              </w:rPr>
              <w:t>Week 10</w:t>
            </w:r>
          </w:p>
        </w:tc>
        <w:tc>
          <w:tcPr>
            <w:tcW w:type="dxa" w:w="3120"/>
          </w:tcPr>
          <w:p>
            <w:r>
              <w:rPr>
                <w:rFonts w:ascii="Calibri" w:hAnsi="Calibri"/>
                <w:sz w:val="20"/>
              </w:rPr>
              <w:t>Outpatient follow-up; ROM 0–135°</w:t>
            </w:r>
          </w:p>
        </w:tc>
        <w:tc>
          <w:tcPr>
            <w:tcW w:type="dxa" w:w="3120"/>
          </w:tcPr>
          <w:p>
            <w:r>
              <w:rPr>
                <w:rFonts w:ascii="Calibri" w:hAnsi="Calibri"/>
                <w:sz w:val="20"/>
              </w:rPr>
              <w:t>3/5 motor, sensation 80% recovered</w:t>
            </w:r>
          </w:p>
        </w:tc>
      </w:tr>
      <w:tr>
        <w:tc>
          <w:tcPr>
            <w:tcW w:type="dxa" w:w="3120"/>
          </w:tcPr>
          <w:p>
            <w:r>
              <w:rPr>
                <w:rFonts w:ascii="Calibri" w:hAnsi="Calibri"/>
                <w:sz w:val="20"/>
              </w:rPr>
              <w:t>Week 16</w:t>
            </w:r>
          </w:p>
        </w:tc>
        <w:tc>
          <w:tcPr>
            <w:tcW w:type="dxa" w:w="3120"/>
          </w:tcPr>
          <w:p>
            <w:r>
              <w:rPr>
                <w:rFonts w:ascii="Calibri" w:hAnsi="Calibri"/>
                <w:sz w:val="20"/>
              </w:rPr>
              <w:t>Final follow-up; full ROM, return to sport</w:t>
            </w:r>
          </w:p>
        </w:tc>
        <w:tc>
          <w:tcPr>
            <w:tcW w:type="dxa" w:w="3120"/>
          </w:tcPr>
          <w:p>
            <w:r>
              <w:rPr>
                <w:rFonts w:ascii="Calibri" w:hAnsi="Calibri"/>
                <w:sz w:val="20"/>
              </w:rPr>
              <w:t>5/5 motor, full sensation</w:t>
            </w:r>
          </w:p>
        </w:tc>
      </w:tr>
    </w:tbl>
    <w:p>
      <w:pPr>
        <w:spacing w:after="240"/>
      </w:pPr>
    </w:p>
    <w:p>
      <w:pPr>
        <w:spacing w:before="40" w:after="160"/>
        <w:ind w:left="360" w:right="360"/>
      </w:pPr>
      <w:r>
        <w:rPr>
          <w:b/>
          <w:color w:val="CC6600"/>
          <w:sz w:val="18"/>
        </w:rPr>
        <w:t xml:space="preserve">[INSTRUCTIONS — DELETE BEFORE SUBMISSION] </w:t>
      </w:r>
      <w:r>
        <w:rPr>
          <w:i/>
          <w:color w:val="664422"/>
          <w:sz w:val="18"/>
        </w:rPr>
        <w:t>PATIENT CONSENT STATEMENT — use the named 'Patient Consent Statement' style for the verbatim consent paragraph. Five variants are recognized by the submission portal: adult_living, pediatric_guardian, deceased_nok, images_only, waiver_approved. Pick the variant matching your patient at submission. The full declaration also goes in the Declarations section below — this is an inline reference for narrative continuity.</w:t>
      </w:r>
    </w:p>
    <w:p>
      <w:pPr>
        <w:pStyle w:val="PatientConsentStatement"/>
      </w:pPr>
      <w:r>
        <w:t>Written informed consent for publication of this case report and accompanying images was obtained from the parent and legal guardian of the minor patient. Age-appropriate assent was also obtained from the patient. A copy of the consent form is available on request.</w:t>
      </w:r>
    </w:p>
    <w:p>
      <w:pPr>
        <w:pStyle w:val="Heading1"/>
      </w:pPr>
      <w:r>
        <w:t>Discussion</w:t>
      </w:r>
    </w:p>
    <w:p>
      <w:pPr>
        <w:spacing w:before="40" w:after="160"/>
        <w:ind w:left="360" w:right="360"/>
      </w:pPr>
      <w:r>
        <w:rPr>
          <w:b/>
          <w:color w:val="CC6600"/>
          <w:sz w:val="18"/>
        </w:rPr>
        <w:t xml:space="preserve">[INSTRUCTIONS — DELETE BEFORE SUBMISSION] </w:t>
      </w:r>
      <w:r>
        <w:rPr>
          <w:i/>
          <w:color w:val="664422"/>
          <w:sz w:val="18"/>
        </w:rPr>
        <w:t>DISCUSSION — 4 to 8 paragraphs. Place the case in the published literature, discuss what makes it noteworthy, identify limitations, and conclude with the clinical implication. Cite references using bracketed numbers in citation order. Do not introduce new clinical data here — that belongs in Case Presentation.</w:t>
      </w:r>
    </w:p>
    <w:p>
      <w:pPr>
        <w:pStyle w:val="BodyTextPlain"/>
      </w:pPr>
      <w:r>
        <w:t>Iatrogenic median nerve injury after closed reduction and percutaneous pinning of pediatric supracondylar humerus fractures is rare. In the largest single-institution series to date, Brown and colleagues identified six iatrogenic nerve injuries among 1,242 pinned supracondylar fractures (0.5%); two of these involved the median nerve, and both were associated with medial-entry K-wires [7]. Our case is unusual in that the offending wire was placed laterally — highlighting that medial nerve compromise is not exclusive to medial wire placement, particularly when the most medial of multiple lateral-entry wires is advanced steeply across the medial column.</w:t>
      </w:r>
    </w:p>
    <w:p>
      <w:pPr>
        <w:pStyle w:val="BodyTextPlain"/>
      </w:pPr>
      <w:r>
        <w:t>Two findings from our case have practical relevance for the operating surgeon. First, repeated postoperative neurovascular examination — including a documented examination performed in the recovery room before the patient is discharged from the post-anesthesia care unit — is essential. The deficit in our patient was not present at the conclusion of surgery on the in-room exam, suggesting that nerve compromise developed either during transfer or during the immediate postoperative period as edema increased around the fracture site and the displaced wire. Second, high-resolution ultrasound was the single most informative imaging modality for localizing the lesion preoperatively [8]. Magnetic resonance imaging would have required general anesthesia in this age group and would have delayed revision surgery; ultrasound was performed at the bedside within 90 minutes of identifying the deficit.</w:t>
      </w:r>
    </w:p>
    <w:p>
      <w:pPr>
        <w:pStyle w:val="BodyTextPlain"/>
      </w:pPr>
      <w:r>
        <w:t>The principal limitation of any case report is the absence of a comparison population [9]. We cannot infer the rate at which similar wire trajectories produce nerve injury, nor can we conclude that earlier ultrasound shortened the time to recovery. Reporting this case nevertheless adds to the small literature describing isolated lateral-wire-mediated median nerve injury and offers a practical example of bedside ultrasound localization in pediatric iatrogenic nerve compromise.</w:t>
      </w:r>
    </w:p>
    <w:p>
      <w:pPr>
        <w:pStyle w:val="Heading1"/>
      </w:pPr>
      <w:r>
        <w:t>Conclusion</w:t>
      </w:r>
    </w:p>
    <w:p>
      <w:pPr>
        <w:spacing w:before="40" w:after="160"/>
        <w:ind w:left="360" w:right="360"/>
      </w:pPr>
      <w:r>
        <w:rPr>
          <w:b/>
          <w:color w:val="CC6600"/>
          <w:sz w:val="18"/>
        </w:rPr>
        <w:t xml:space="preserve">[INSTRUCTIONS — DELETE BEFORE SUBMISSION] </w:t>
      </w:r>
      <w:r>
        <w:rPr>
          <w:i/>
          <w:color w:val="664422"/>
          <w:sz w:val="18"/>
        </w:rPr>
        <w:t>CONCLUSION — one or two short paragraphs. State the clinical takeaway plainly. Do not introduce new claims that are not supported by the case as described.</w:t>
      </w:r>
    </w:p>
    <w:p>
      <w:pPr>
        <w:pStyle w:val="BodyTextPlain"/>
      </w:pPr>
      <w:r>
        <w:t>Iatrogenic median nerve injury after closed reduction and percutaneous pinning of pediatric supracondylar humerus fractures is uncommon, can occur with lateral-entry as well as medial-entry K-wires, and is recoverable when recognized early. Repeated postoperative neurovascular examination — including a documented exam in the post-anesthesia care unit — should be standard, and high-resolution ultrasound is a useful first-line imaging modality when wire-related nerve injury is suspected.</w:t>
      </w:r>
    </w:p>
    <w:p>
      <w:pPr>
        <w:pStyle w:val="Heading1"/>
      </w:pPr>
      <w:r>
        <w:t>Declarations</w:t>
      </w:r>
    </w:p>
    <w:p>
      <w:pPr>
        <w:spacing w:before="40" w:after="160"/>
        <w:ind w:left="360" w:right="360"/>
      </w:pPr>
      <w:r>
        <w:rPr>
          <w:b/>
          <w:color w:val="CC6600"/>
          <w:sz w:val="18"/>
        </w:rPr>
        <w:t xml:space="preserve">[INSTRUCTIONS — DELETE BEFORE SUBMISSION] </w:t>
      </w:r>
      <w:r>
        <w:rPr>
          <w:i/>
          <w:color w:val="664422"/>
          <w:sz w:val="18"/>
        </w:rPr>
        <w:t>DECLARATIONS — every section below is required for case reports unless explicitly marked optional. Use Heading 2 for each sub-heading. Do NOT use Word's footnote feature — all footnotes belong here as named declarations. Source-of-truth: PDF Compliance Brief §5 (Janine, 2026-04-19).</w:t>
      </w:r>
    </w:p>
    <w:p>
      <w:pPr>
        <w:pStyle w:val="Heading2"/>
      </w:pPr>
      <w:r>
        <w:t>Funding</w:t>
      </w:r>
    </w:p>
    <w:p>
      <w:pPr>
        <w:pStyle w:val="BodyTextPlain"/>
      </w:pPr>
      <w:r>
        <w:t>No external funding was received for this work.  [REPLACE WITH YOUR FUNDING STATEMENT — if external funding was received, state the funder name and award number, e.g., "This work was supported by the National Institutes of Health (R01-XXXXXX)."]</w:t>
      </w:r>
    </w:p>
    <w:p>
      <w:pPr>
        <w:pStyle w:val="Heading2"/>
      </w:pPr>
      <w:r>
        <w:t>Conflicts of Interest</w:t>
      </w:r>
    </w:p>
    <w:p>
      <w:pPr>
        <w:spacing w:before="40" w:after="160"/>
        <w:ind w:left="360" w:right="360"/>
      </w:pPr>
      <w:r>
        <w:rPr>
          <w:b/>
          <w:color w:val="CC6600"/>
          <w:sz w:val="18"/>
        </w:rPr>
        <w:t xml:space="preserve">[INSTRUCTIONS — DELETE BEFORE SUBMISSION] </w:t>
      </w:r>
      <w:r>
        <w:rPr>
          <w:i/>
          <w:color w:val="664422"/>
          <w:sz w:val="18"/>
        </w:rPr>
        <w:t>Provide BOTH the brief one-line statement (used in the page-1 footer of the published PDF) AND the full disclosure paragraph (used in the back-matter Declarations block). Janine 2026-04-24 re-audit added the brief form as a required field.</w:t>
      </w:r>
    </w:p>
    <w:p>
      <w:pPr>
        <w:pStyle w:val="BodyTextPlain"/>
      </w:pPr>
      <w:r>
        <w:rPr>
          <w:rFonts w:ascii="Calibri" w:hAnsi="Calibri"/>
          <w:b/>
          <w:sz w:val="22"/>
        </w:rPr>
        <w:t xml:space="preserve">Brief statement (page-1 footer): </w:t>
      </w:r>
      <w:r>
        <w:rPr>
          <w:rFonts w:ascii="Calibri" w:hAnsi="Calibri"/>
          <w:sz w:val="22"/>
        </w:rPr>
        <w:t>The authors declare no conflicts of interest.</w:t>
      </w:r>
    </w:p>
    <w:p>
      <w:pPr>
        <w:pStyle w:val="BodyTextPlain"/>
      </w:pPr>
      <w:r>
        <w:rPr>
          <w:rFonts w:ascii="Calibri" w:hAnsi="Calibri"/>
          <w:b/>
          <w:sz w:val="22"/>
        </w:rPr>
        <w:t xml:space="preserve">Full disclosure: </w:t>
      </w:r>
      <w:r>
        <w:rPr>
          <w:rFonts w:ascii="Calibri" w:hAnsi="Calibri"/>
          <w:sz w:val="22"/>
        </w:rPr>
        <w:t xml:space="preserve">The authors declare no conflicts of interest. None of the authors has a financial or personal relationship with any entity that could influence or bias the content of this work. </w:t>
      </w:r>
      <w:r>
        <w:rPr>
          <w:rFonts w:ascii="Calibri" w:hAnsi="Calibri"/>
          <w:color w:val="C0392B"/>
          <w:sz w:val="22"/>
        </w:rPr>
        <w:t>[REPLACE WITH YOUR FULL DISCLOSURE — list any relevant relationships, consulting arrangements, equity, royalties, or grant support per ICMJE.]</w:t>
      </w:r>
    </w:p>
    <w:p>
      <w:pPr>
        <w:pStyle w:val="Heading2"/>
      </w:pPr>
      <w:r>
        <w:t>Patient Consent</w:t>
      </w:r>
    </w:p>
    <w:p>
      <w:pPr>
        <w:spacing w:before="40" w:after="160"/>
        <w:ind w:left="360" w:right="360"/>
      </w:pPr>
      <w:r>
        <w:rPr>
          <w:b/>
          <w:color w:val="CC6600"/>
          <w:sz w:val="18"/>
        </w:rPr>
        <w:t xml:space="preserve">[INSTRUCTIONS — DELETE BEFORE SUBMISSION] </w:t>
      </w:r>
      <w:r>
        <w:rPr>
          <w:i/>
          <w:color w:val="664422"/>
          <w:sz w:val="18"/>
        </w:rPr>
        <w:t>Pick ONE of the five variants below and delete the other four. The submission portal flags absent or mismatched consent statements.</w:t>
      </w:r>
    </w:p>
    <w:p>
      <w:pPr>
        <w:pStyle w:val="BodyTextPlain"/>
      </w:pPr>
      <w:r>
        <w:rPr>
          <w:b/>
          <w:color w:val="664930"/>
          <w:sz w:val="20"/>
        </w:rPr>
        <w:t>Variant A — Competent adult patient (adult_living):</w:t>
      </w:r>
    </w:p>
    <w:p>
      <w:pPr>
        <w:pStyle w:val="PatientConsentStatement"/>
      </w:pPr>
      <w:r>
        <w:t>Written informed consent was obtained from the patient for publication of this case report and any accompanying images. A copy of the consent form is available on request.</w:t>
      </w:r>
    </w:p>
    <w:p>
      <w:pPr>
        <w:pStyle w:val="BodyTextPlain"/>
      </w:pPr>
      <w:r>
        <w:rPr>
          <w:b/>
          <w:color w:val="664930"/>
          <w:sz w:val="20"/>
        </w:rPr>
        <w:t>Variant B — Pediatric patient (pediatric_guardian):</w:t>
      </w:r>
    </w:p>
    <w:p>
      <w:pPr>
        <w:pStyle w:val="PatientConsentStatement"/>
      </w:pPr>
      <w:r>
        <w:t>Written informed consent for publication of this case report and any accompanying images was obtained from the parent(s) or legal guardian(s) of the minor patient. Age-appropriate assent was obtained from the patient where developmentally feasible. A copy of the consent form is available on request.</w:t>
      </w:r>
    </w:p>
    <w:p>
      <w:pPr>
        <w:pStyle w:val="BodyTextPlain"/>
      </w:pPr>
      <w:r>
        <w:rPr>
          <w:b/>
          <w:color w:val="664930"/>
          <w:sz w:val="20"/>
        </w:rPr>
        <w:t>Variant C — Deceased patient (deceased_nok):</w:t>
      </w:r>
    </w:p>
    <w:p>
      <w:pPr>
        <w:pStyle w:val="PatientConsentStatement"/>
      </w:pPr>
      <w:r>
        <w:t>The patient described in this case report is deceased. Written informed consent for publication of this case report and any accompanying images was obtained from the patient's next of kin. A copy of the consent form is available on request.</w:t>
      </w:r>
    </w:p>
    <w:p>
      <w:pPr>
        <w:pStyle w:val="BodyTextPlain"/>
      </w:pPr>
      <w:r>
        <w:rPr>
          <w:b/>
          <w:color w:val="664930"/>
          <w:sz w:val="20"/>
        </w:rPr>
        <w:t>Variant D — Verbal consent witnessed (images_only / unusual circumstances):</w:t>
      </w:r>
    </w:p>
    <w:p>
      <w:pPr>
        <w:pStyle w:val="PatientConsentStatement"/>
      </w:pPr>
      <w:r>
        <w:t>Written consent for publication could not be obtained; verbal consent was obtained from the patient and witnessed by a member of the clinical team. All identifying features have been removed from the case description and accompanying images. The decision to proceed under verbal consent was reviewed and approved by the institution's research ethics committee.</w:t>
      </w:r>
    </w:p>
    <w:p>
      <w:pPr>
        <w:pStyle w:val="BodyTextPlain"/>
      </w:pPr>
      <w:r>
        <w:rPr>
          <w:b/>
          <w:color w:val="664930"/>
          <w:sz w:val="20"/>
        </w:rPr>
        <w:t>Variant E — IRB waiver (waiver_approved):</w:t>
      </w:r>
    </w:p>
    <w:p>
      <w:pPr>
        <w:pStyle w:val="PatientConsentStatement"/>
      </w:pPr>
      <w:r>
        <w:t>A formal waiver of informed consent was granted by the Institutional Review Board of [INSTITUTION] (protocol number [IRB-####]) under 45 CFR 46.116(f) because [WAIVER RATIONALE]. All identifying features have been removed from the case description and accompanying images.</w:t>
      </w:r>
    </w:p>
    <w:p>
      <w:pPr>
        <w:pStyle w:val="Heading2"/>
      </w:pPr>
      <w:r>
        <w:t>IRB / Ethics Approval</w:t>
      </w:r>
    </w:p>
    <w:p>
      <w:pPr>
        <w:spacing w:before="40" w:after="160"/>
        <w:ind w:left="360" w:right="360"/>
      </w:pPr>
      <w:r>
        <w:rPr>
          <w:b/>
          <w:color w:val="CC6600"/>
          <w:sz w:val="18"/>
        </w:rPr>
        <w:t xml:space="preserve">[INSTRUCTIONS — DELETE BEFORE SUBMISSION] </w:t>
      </w:r>
      <w:r>
        <w:rPr>
          <w:i/>
          <w:color w:val="664422"/>
          <w:sz w:val="18"/>
        </w:rPr>
        <w:t>Pick ONE of the two branches below and delete the other.</w:t>
      </w:r>
    </w:p>
    <w:p>
      <w:pPr>
        <w:pStyle w:val="BodyTextPlain"/>
      </w:pPr>
      <w:r>
        <w:rPr>
          <w:rFonts w:ascii="Calibri" w:hAnsi="Calibri"/>
          <w:b/>
          <w:sz w:val="22"/>
        </w:rPr>
        <w:t xml:space="preserve">Branch A — IRB approval obtained: </w:t>
      </w:r>
      <w:r>
        <w:rPr>
          <w:rFonts w:ascii="Calibri" w:hAnsi="Calibri"/>
          <w:sz w:val="22"/>
        </w:rPr>
        <w:t>This case report was reviewed and approved by the Institutional Review Board of [INSTITUTION] (protocol number [IRB-####]). Written informed consent was obtained from the patient(s) as described above.</w:t>
      </w:r>
    </w:p>
    <w:p>
      <w:pPr>
        <w:pStyle w:val="BodyTextPlain"/>
      </w:pPr>
      <w:r>
        <w:rPr>
          <w:rFonts w:ascii="Calibri" w:hAnsi="Calibri"/>
          <w:b/>
          <w:sz w:val="22"/>
        </w:rPr>
        <w:t xml:space="preserve">Branch B — IRB exempt / not required: </w:t>
      </w:r>
      <w:r>
        <w:rPr>
          <w:rFonts w:ascii="Calibri" w:hAnsi="Calibri"/>
          <w:sz w:val="22"/>
        </w:rPr>
        <w:t>Institutional Review Board approval was not required for this case report per [INSTITUTION] policy ([SINGLE-PATIENT CASE REPORT / DE-IDENTIFIED / OTHER EXEMPTION RATIONALE — cite the specific institutional policy or category, e.g., "Category 4 exemption per 45 CFR 46.104(d)(4)"]). Written informed consent was obtained from the patient(s) as described above.</w:t>
      </w:r>
    </w:p>
    <w:p>
      <w:pPr>
        <w:pStyle w:val="Heading2"/>
      </w:pPr>
      <w:r>
        <w:t>Data Availability</w:t>
      </w:r>
    </w:p>
    <w:p>
      <w:pPr>
        <w:pStyle w:val="BodyTextPlain"/>
      </w:pPr>
      <w:r>
        <w:t>All data supporting the findings of this report are contained within the article. [REPLACE WITH YOUR DATA AVAILABILITY STATEMENT if data are deposited in a public repository, e.g., "De-identified imaging data are available from the corresponding author on reasonable request."]</w:t>
      </w:r>
    </w:p>
    <w:p>
      <w:pPr>
        <w:pStyle w:val="Heading2"/>
      </w:pPr>
      <w:r>
        <w:t>Author Contributions (CRediT)</w:t>
      </w:r>
    </w:p>
    <w:p>
      <w:pPr>
        <w:spacing w:before="40" w:after="160"/>
        <w:ind w:left="360" w:right="360"/>
      </w:pPr>
      <w:r>
        <w:rPr>
          <w:b/>
          <w:color w:val="CC6600"/>
          <w:sz w:val="18"/>
        </w:rPr>
        <w:t xml:space="preserve">[INSTRUCTIONS — DELETE BEFORE SUBMISSION] </w:t>
      </w:r>
      <w:r>
        <w:rPr>
          <w:i/>
          <w:color w:val="664422"/>
          <w:sz w:val="18"/>
        </w:rPr>
        <w:t>Use the NISO CRediT 14-role taxonomy. Format: "Author Name — Role 1, Role 2, Role 3." The 14 roles: Conceptualization · Data curation · Formal analysis · Funding acquisition · Investigation · Methodology · Project administration · Resources · Software · Supervision · Validation · Visualization · Writing – original draft · Writing – review &amp; editing.</w:t>
      </w:r>
    </w:p>
    <w:p>
      <w:pPr>
        <w:pStyle w:val="BodyTextPlain"/>
      </w:pPr>
      <w:r>
        <w:t>P.R. Sundaram — Conceptualization, Investigation, Writing – original draft (equal); D.J. O'Brien — Investigation, Writing – original draft (equal); L. Fernández-Romero — Methodology, Visualization, Writing – review &amp; editing; C.M. Yeoh — Supervision, Project administration, Writing – review &amp; editing.</w:t>
      </w:r>
    </w:p>
    <w:p>
      <w:pPr>
        <w:pStyle w:val="Heading2"/>
      </w:pPr>
      <w:r>
        <w:t>AI-Assisted Writing Disclosure</w:t>
      </w:r>
    </w:p>
    <w:p>
      <w:pPr>
        <w:spacing w:before="40" w:after="160"/>
        <w:ind w:left="360" w:right="360"/>
      </w:pPr>
      <w:r>
        <w:rPr>
          <w:b/>
          <w:color w:val="CC6600"/>
          <w:sz w:val="18"/>
        </w:rPr>
        <w:t xml:space="preserve">[INSTRUCTIONS — DELETE BEFORE SUBMISSION] </w:t>
      </w:r>
      <w:r>
        <w:rPr>
          <w:i/>
          <w:color w:val="664422"/>
          <w:sz w:val="18"/>
        </w:rPr>
        <w:t>Required by OSCRSJ editorial policy. State whether any generative AI tool was used in conception, drafting, or revision of the manuscript. AI tools cannot be listed as authors. Authors remain fully responsible for accuracy, integrity, and originality.</w:t>
      </w:r>
    </w:p>
    <w:p>
      <w:pPr>
        <w:pStyle w:val="BodyTextPlain"/>
      </w:pPr>
      <w:r>
        <w:t>The authors did not use generative AI tools in the conception, drafting, or revision of this manuscript.  [OR REPLACE WITH FULL DISCLOSURE — e.g., "ChatGPT-4o was used for language polishing of the Discussion section only. All scientific content, clinical data, and interpretations were produced by the authors without AI assistance."]</w:t>
      </w:r>
    </w:p>
    <w:p>
      <w:pPr>
        <w:pStyle w:val="Heading2"/>
      </w:pPr>
      <w:r>
        <w:t>Acknowledgments  (optional — delete this section if not used)</w:t>
      </w:r>
    </w:p>
    <w:p>
      <w:pPr>
        <w:spacing w:before="40" w:after="160"/>
        <w:ind w:left="360" w:right="360"/>
      </w:pPr>
      <w:r>
        <w:rPr>
          <w:b/>
          <w:color w:val="CC6600"/>
          <w:sz w:val="18"/>
        </w:rPr>
        <w:t xml:space="preserve">[INSTRUCTIONS — DELETE BEFORE SUBMISSION] </w:t>
      </w:r>
      <w:r>
        <w:rPr>
          <w:i/>
          <w:color w:val="664422"/>
          <w:sz w:val="18"/>
        </w:rPr>
        <w:t>OPTIONAL. Non-author contributors only. Per ICMJE, every individual named must have given written permission. Editorial office verifies at acceptance.</w:t>
      </w:r>
    </w:p>
    <w:p>
      <w:pPr>
        <w:pStyle w:val="BodyTextPlain"/>
      </w:pPr>
      <w:r>
        <w:t>[OPTIONAL — REPLACE WITH ACKNOWLEDGMENTS or DELETE THIS SECTION ENTIRELY. Example: "The authors thank Jane Smith, RN, for assistance with patient follow-up coordination. Written permission to include this acknowledgment was obtained."]</w:t>
      </w:r>
    </w:p>
    <w:p>
      <w:r>
        <w:br w:type="page"/>
      </w:r>
    </w:p>
    <w:p>
      <w:pPr>
        <w:pStyle w:val="Heading1"/>
      </w:pPr>
      <w:r>
        <w:t>References</w:t>
      </w:r>
    </w:p>
    <w:p>
      <w:pPr>
        <w:spacing w:before="40" w:after="160"/>
        <w:ind w:left="360" w:right="360"/>
      </w:pPr>
      <w:r>
        <w:rPr>
          <w:b/>
          <w:color w:val="CC6600"/>
          <w:sz w:val="18"/>
        </w:rPr>
        <w:t xml:space="preserve">[INSTRUCTIONS — DELETE BEFORE SUBMISSION] </w:t>
      </w:r>
      <w:r>
        <w:rPr>
          <w:i/>
          <w:color w:val="664422"/>
          <w:sz w:val="18"/>
        </w:rPr>
        <w:t>REFERENCES — number manually as [1], [2], [3] … in citation order. Vancouver / NLM style per Citing Medicine 2e. ONE reference per paragraph (do not use Word's auto-numbered list feature — Pandoc rebuilds these as &lt;ol&gt; with extra cleanup overhead). Include the DOI URL inline at the end of each reference: https://doi.org/10.xxxx/xxxxx (no "doi:" prefix, no dx.doi.org). PMID (optional) sits after the DOI as: PMID: 12345678. Three worked-example references follow — keep the bracketed-number format and replace the citation text with your own.</w:t>
      </w:r>
    </w:p>
    <w:p>
      <w:pPr>
        <w:pStyle w:val="BodyTextPlain"/>
        <w:ind w:hanging="360" w:left="360"/>
      </w:pPr>
      <w:r>
        <w:t>[1]  Skaggs DL, Cluck MW, Mostofi A, Flynn JM, Kay RM. Lateral-entry pin fixation in the management of supracondylar fractures in children. J Bone Joint Surg Am. 2004;86(4):702-707. https://doi.org/10.2106/00004623-200404000-00006</w:t>
      </w:r>
    </w:p>
    <w:p>
      <w:pPr>
        <w:pStyle w:val="BodyTextPlain"/>
        <w:ind w:hanging="360" w:left="360"/>
      </w:pPr>
      <w:r>
        <w:t>[2]  Bahk MS, Srikumaran U, Ain MC, et al. Patterns of pediatric supracondylar humerus fractures. J Pediatr Orthop. 2008;28(5):493-499. https://doi.org/10.1097/BPO.0b013e31817bb860</w:t>
      </w:r>
    </w:p>
    <w:p>
      <w:pPr>
        <w:pStyle w:val="BodyTextPlain"/>
        <w:ind w:hanging="360" w:left="360"/>
      </w:pPr>
      <w:r>
        <w:t>[3]  Babal JC, Mehlman CT, Klein G. Nerve injuries associated with pediatric supracondylar humeral fractures: a meta-analysis. J Pediatr Orthop. 2010;30(3):253-263. https://doi.org/10.1097/BPO.0b013e3181d213a6</w:t>
      </w:r>
    </w:p>
    <w:p>
      <w:pPr>
        <w:spacing w:before="40" w:after="160"/>
        <w:ind w:left="360" w:right="360"/>
      </w:pPr>
      <w:r>
        <w:rPr>
          <w:b/>
          <w:color w:val="CC6600"/>
          <w:sz w:val="18"/>
        </w:rPr>
        <w:t xml:space="preserve">[INSTRUCTIONS — DELETE BEFORE SUBMISSION] </w:t>
      </w:r>
      <w:r>
        <w:rPr>
          <w:i/>
          <w:color w:val="664422"/>
          <w:sz w:val="18"/>
        </w:rPr>
        <w:t>CITE THIS ARTICLE AS — the editorial office populates this at acceptance. Authors leave the placeholder string in place; the renderer overwrites with the assigned elocation-id and DOI at publication.</w:t>
      </w:r>
    </w:p>
    <w:p>
      <w:pPr>
        <w:pStyle w:val="BodyTextPlain"/>
      </w:pPr>
      <w:r>
        <w:rPr>
          <w:rFonts w:ascii="Calibri" w:hAnsi="Calibri"/>
          <w:b/>
          <w:sz w:val="22"/>
        </w:rPr>
        <w:t xml:space="preserve">Cite this article as: </w:t>
      </w:r>
      <w:r>
        <w:rPr>
          <w:rFonts w:ascii="Calibri" w:hAnsi="Calibri"/>
          <w:sz w:val="22"/>
        </w:rPr>
        <w:t xml:space="preserve">Sundaram PR, O'Brien DJ, Fernández-Romero L, Yeoh CM. Iatrogenic median nerve injury following closed reduction and percutaneous pinning of a pediatric supracondylar humerus fracture: a case report. </w:t>
      </w:r>
      <w:r>
        <w:rPr>
          <w:rFonts w:ascii="Calibri" w:hAnsi="Calibri"/>
          <w:i/>
          <w:sz w:val="22"/>
        </w:rPr>
        <w:t>OSCRSJ</w:t>
      </w:r>
      <w:r>
        <w:rPr>
          <w:rFonts w:ascii="Calibri" w:hAnsi="Calibri"/>
          <w:sz w:val="22"/>
        </w:rPr>
        <w:t>. 2026;1(1):e0001. https://doi.org/10.99999/oscrsj.2026.0001</w:t>
      </w:r>
    </w:p>
    <w:p/>
    <w:p>
      <w:pPr>
        <w:jc w:val="center"/>
      </w:pPr>
      <w:r>
        <w:rPr>
          <w:rFonts w:ascii="Calibri" w:hAnsi="Calibri"/>
          <w:color w:val="999999"/>
          <w:sz w:val="16"/>
        </w:rPr>
        <w:t>────────────────────────────────────────────────────────────</w:t>
      </w:r>
    </w:p>
    <w:p>
      <w:pPr>
        <w:jc w:val="center"/>
      </w:pPr>
      <w:r>
        <w:rPr>
          <w:rFonts w:ascii="Calibri" w:hAnsi="Calibri"/>
          <w:b/>
          <w:color w:val="595959"/>
          <w:sz w:val="20"/>
        </w:rPr>
        <w:t>© 2026 The Author(s). Published by OSCRSJ.</w:t>
      </w:r>
    </w:p>
    <w:p>
      <w:pPr>
        <w:ind w:left="720" w:right="720"/>
        <w:jc w:val="center"/>
      </w:pPr>
      <w:r>
        <w:rPr>
          <w:rFonts w:ascii="Calibri" w:hAnsi="Calibri"/>
          <w:color w:val="595959"/>
          <w:sz w:val="18"/>
        </w:rPr>
        <w:t>This article is distributed under the terms of the Creative Commons Attribution-NonCommercial-NoDerivatives 4.0 International License (CC BY-NC-ND 4.0), which permits use, distribution, and reproduction in any non-commercial medium, provided the original work is properly cited and is not altered, transformed, or built upon in any way. To view a copy of this license, visit https://creativecommons.org/licenses/by-nc-nd/4.0/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360" w:lineRule="auto"/>
    </w:pPr>
    <w:rPr>
      <w:rFonts w:ascii="Calibri" w:hAnsi="Calibri"/>
      <w:b w:val="0"/>
      <w:i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76" w:lineRule="auto"/>
      <w:outlineLvl w:val="0"/>
    </w:pPr>
    <w:rPr>
      <w:rFonts w:asciiTheme="majorHAnsi" w:eastAsiaTheme="majorEastAsia" w:hAnsiTheme="majorHAnsi" w:cstheme="majorBidi" w:ascii="Georgia" w:hAnsi="Georgia"/>
      <w:b/>
      <w:bCs/>
      <w:i w:val="0"/>
      <w:color w:val="3D2A18"/>
      <w:sz w:val="36"/>
      <w:szCs w:val="28"/>
    </w:rPr>
  </w:style>
  <w:style w:type="paragraph" w:styleId="Heading2">
    <w:name w:val="heading 2"/>
    <w:basedOn w:val="Normal"/>
    <w:next w:val="Normal"/>
    <w:link w:val="Heading2Char"/>
    <w:uiPriority w:val="9"/>
    <w:unhideWhenUsed/>
    <w:qFormat/>
    <w:rsid w:val="00FC693F"/>
    <w:pPr>
      <w:keepNext/>
      <w:keepLines/>
      <w:spacing w:before="360" w:after="160" w:line="276" w:lineRule="auto"/>
      <w:outlineLvl w:val="1"/>
    </w:pPr>
    <w:rPr>
      <w:rFonts w:asciiTheme="majorHAnsi" w:eastAsiaTheme="majorEastAsia" w:hAnsiTheme="majorHAnsi" w:cstheme="majorBidi" w:ascii="Georgia" w:hAnsi="Georgia"/>
      <w:b/>
      <w:bCs/>
      <w:i w:val="0"/>
      <w:color w:val="3D2A18"/>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Georgia" w:hAnsi="Georgia"/>
      <w:b/>
      <w:bCs/>
      <w:i w:val="0"/>
      <w:color w:val="3D2A18"/>
      <w:sz w:val="24"/>
    </w:rPr>
  </w:style>
  <w:style w:type="paragraph" w:styleId="Heading4">
    <w:name w:val="heading 4"/>
    <w:basedOn w:val="Normal"/>
    <w:next w:val="Normal"/>
    <w:link w:val="Heading4Char"/>
    <w:uiPriority w:val="9"/>
    <w:semiHidden/>
    <w:unhideWhenUsed/>
    <w:qFormat/>
    <w:rsid w:val="00FC693F"/>
    <w:pPr>
      <w:keepNext/>
      <w:keepLines/>
      <w:spacing w:before="160" w:after="80" w:line="276" w:lineRule="auto"/>
      <w:outlineLvl w:val="3"/>
    </w:pPr>
    <w:rPr>
      <w:rFonts w:asciiTheme="majorHAnsi" w:eastAsiaTheme="majorEastAsia" w:hAnsiTheme="majorHAnsi" w:cstheme="majorBidi" w:ascii="Calibri" w:hAnsi="Calibri"/>
      <w:b/>
      <w:bCs/>
      <w:i w:val="0"/>
      <w:iCs/>
      <w:color w:val="3D2A1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after="360" w:before="80" w:line="312" w:lineRule="auto"/>
    </w:pPr>
    <w:rPr>
      <w:rFonts w:ascii="Calibri" w:hAnsi="Calibri"/>
      <w:b w:val="0"/>
      <w:i/>
      <w:color w:val="333333"/>
      <w:sz w:val="20"/>
    </w:rPr>
  </w:style>
  <w:style w:type="paragraph" w:customStyle="1" w:styleId="TableCaption">
    <w:name w:val="Table Caption"/>
    <w:basedOn w:val="Normal"/>
    <w:pPr>
      <w:spacing w:after="80" w:before="240" w:line="312" w:lineRule="auto"/>
    </w:pPr>
    <w:rPr>
      <w:rFonts w:ascii="Calibri" w:hAnsi="Calibri"/>
      <w:b w:val="0"/>
      <w:i/>
      <w:color w:val="333333"/>
      <w:sz w:val="20"/>
    </w:rPr>
  </w:style>
  <w:style w:type="paragraph" w:customStyle="1" w:styleId="BlockQuote">
    <w:name w:val="Block Quote"/>
    <w:basedOn w:val="Normal"/>
    <w:pPr>
      <w:spacing w:after="240" w:before="240" w:line="360" w:lineRule="auto"/>
      <w:ind w:left="720" w:right="720"/>
    </w:pPr>
    <w:rPr>
      <w:rFonts w:ascii="Calibri" w:hAnsi="Calibri"/>
      <w:b w:val="0"/>
      <w:i/>
      <w:color w:val="333333"/>
      <w:sz w:val="22"/>
    </w:rPr>
  </w:style>
  <w:style w:type="paragraph" w:customStyle="1" w:styleId="PatientConsentStatement">
    <w:name w:val="Patient Consent Statement"/>
    <w:basedOn w:val="Normal"/>
    <w:pPr>
      <w:spacing w:after="240" w:before="240" w:line="360" w:lineRule="auto"/>
      <w:ind w:left="360"/>
    </w:pPr>
    <w:rPr>
      <w:rFonts w:ascii="Calibri" w:hAnsi="Calibri"/>
      <w:b w:val="0"/>
      <w:i/>
      <w:color w:val="664930"/>
      <w:sz w:val="22"/>
    </w:rPr>
  </w:style>
  <w:style w:type="paragraph" w:customStyle="1" w:styleId="BodyTextPlain">
    <w:name w:val="Body Text Plain"/>
    <w:basedOn w:val="Normal"/>
    <w:pPr>
      <w:spacing w:after="160" w:before="0" w:line="360" w:lineRule="auto"/>
      <w:jc w:val="both"/>
    </w:pPr>
    <w:rPr>
      <w:rFonts w:ascii="Calibri" w:hAnsi="Calibri"/>
      <w:b w:val="0"/>
      <w:i w:val="0"/>
      <w:sz w:val="22"/>
    </w:rPr>
  </w:style>
  <w:style w:type="paragraph" w:customStyle="1" w:styleId="BodyTextFirstIndent">
    <w:name w:val="Body Text First Indent"/>
    <w:basedOn w:val="Normal"/>
    <w:pPr>
      <w:spacing w:after="160" w:before="0" w:line="360" w:lineRule="auto"/>
      <w:ind w:firstLine="360"/>
      <w:jc w:val="both"/>
    </w:pPr>
    <w:rPr>
      <w:rFonts w:ascii="Calibri" w:hAnsi="Calibri"/>
      <w:b w:val="0"/>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OSCRSJ Manuscript Template — v1.0</dc:title>
  <dc:subject>Orthopedic case report manuscript template</dc:subject>
  <dc:creator>OSCRSJ Editorial Office</dc:creator>
  <cp:keywords>OSCRSJ; case report; manuscript template; orthopedics</cp:keywords>
  <dc:description>OSCRSJ author manuscript template v1.0. Encodes the 9 author submission constraints. Use Heading 1-4 only. Manual [n] references on a separate page after a hard page break. See oscrsj.com/guide-for-authors.</dc:description>
  <cp:lastModifiedBy/>
  <cp:revision>1</cp:revision>
  <dcterms:created xsi:type="dcterms:W3CDTF">2013-12-23T23:15:00Z</dcterms:created>
  <dcterms:modified xsi:type="dcterms:W3CDTF">2013-12-23T23:15:00Z</dcterms:modified>
  <cp:category/>
</cp:coreProperties>
</file>