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86AB"/>
          <w:sz w:val="28"/>
        </w:rPr>
        <w:t>HCPI System</w:t>
      </w:r>
    </w:p>
    <w:p>
      <w:pPr>
        <w:jc w:val="center"/>
      </w:pPr>
      <w:r>
        <w:rPr>
          <w:rFonts w:ascii="Calibri" w:hAnsi="Calibri"/>
          <w:b/>
          <w:color w:val="1F3A5F"/>
          <w:sz w:val="56"/>
        </w:rPr>
        <w:t>Reported Issues Report</w:t>
      </w:r>
    </w:p>
    <w:p>
      <w:pPr>
        <w:jc w:val="center"/>
      </w:pPr>
      <w:r>
        <w:rPr>
          <w:rFonts w:ascii="Calibri" w:hAnsi="Calibri"/>
          <w:i/>
          <w:color w:val="555555"/>
          <w:sz w:val="21"/>
        </w:rPr>
        <w:t>Prepared 02 June 2026    ·    EAC HCPI Maintenance Team</w:t>
      </w:r>
    </w:p>
    <w:p/>
    <w:p>
      <w:pPr>
        <w:spacing w:before="360" w:after="120"/>
      </w:pPr>
      <w:r>
        <w:rPr>
          <w:rFonts w:ascii="Calibri" w:hAnsi="Calibri"/>
          <w:b/>
          <w:color w:val="1F3A5F"/>
          <w:sz w:val="36"/>
        </w:rPr>
        <w:t>Executive Summary</w:t>
      </w:r>
    </w:p>
    <w:p>
      <w:pPr>
        <w:spacing w:after="120"/>
      </w:pPr>
      <w:r>
        <w:rPr>
          <w:rFonts w:ascii="Calibri" w:hAnsi="Calibri"/>
          <w:b w:val="0"/>
          <w:i w:val="0"/>
          <w:sz w:val="22"/>
        </w:rPr>
        <w:t>This document consolidates issues reported by the four national statistics offices (UBOS, KNBS, NBS, OCGS) and the EAC Secretariat against the HCPI deployment, together with a maintenance-team triage. Each issue is grouped by functional area, sized for effort, and assigned a target branch so the work can be planned, scheduled, and communicated back to the reporting offices.</w:t>
      </w:r>
    </w:p>
    <w:p>
      <w:pPr>
        <w:spacing w:after="120"/>
      </w:pPr>
      <w:r>
        <w:rPr>
          <w:rFonts w:ascii="Calibri" w:hAnsi="Calibri"/>
          <w:b w:val="0"/>
          <w:i w:val="0"/>
          <w:sz w:val="22"/>
        </w:rPr>
        <w:t>Effort sizing uses three buckets: S (1–3 days), M (3–10 days), and L (open-ended or governance-dependent). “Shared” in the Branch column means the change lives on the 18.0 base and is merged forward into each country branch (ug_18, ke_18_mtnce, tz_18_mtnce, zar_18).</w:t>
      </w:r>
    </w:p>
    <w:p>
      <w:pPr>
        <w:spacing w:before="360" w:after="120"/>
      </w:pPr>
      <w:r>
        <w:rPr>
          <w:rFonts w:ascii="Calibri" w:hAnsi="Calibri"/>
          <w:b/>
          <w:color w:val="1F3A5F"/>
          <w:sz w:val="36"/>
        </w:rPr>
        <w:t>Issues Noticed — Cross-Cutting Themes</w:t>
      </w:r>
    </w:p>
    <w:p>
      <w:pPr>
        <w:spacing w:after="120"/>
      </w:pPr>
      <w:r>
        <w:rPr>
          <w:rFonts w:ascii="Calibri" w:hAnsi="Calibri"/>
          <w:b w:val="0"/>
          <w:i/>
          <w:color w:val="555555"/>
          <w:sz w:val="22"/>
        </w:rPr>
        <w:t>Reading across the reports, four patterns emerge that recur in more than one country or more than one module:</w:t>
      </w:r>
    </w:p>
    <w:p>
      <w:pPr>
        <w:pStyle w:val="ListBullet"/>
        <w:spacing w:after="40"/>
      </w:pPr>
      <w:r>
        <w:rPr>
          <w:rFonts w:ascii="Calibri" w:hAnsi="Calibri"/>
          <w:sz w:val="22"/>
        </w:rPr>
        <w:t>Dashboard usability gaps. Several offices report the same UX complaints: no way to select a specific month / year, headline national figure not prominent, not all divisions visible. These are not country-specific bugs — they are shared dashboard limitations.</w:t>
      </w:r>
    </w:p>
    <w:p>
      <w:pPr>
        <w:pStyle w:val="ListBullet"/>
        <w:spacing w:after="40"/>
      </w:pPr>
      <w:r>
        <w:rPr>
          <w:rFonts w:ascii="Calibri" w:hAnsi="Calibri"/>
          <w:sz w:val="22"/>
        </w:rPr>
        <w:t>Empty-data symptoms that look like bugs but are usually data state. “Sector figures show 0” (UBOS, KNBS) and “no national figures” (Uganda) most often trace back to the zero-price safety gate, missing dashboard_display flags, or the national index wizard not having run — not to broken code.</w:t>
      </w:r>
    </w:p>
    <w:p>
      <w:pPr>
        <w:pStyle w:val="ListBullet"/>
        <w:spacing w:after="40"/>
      </w:pPr>
      <w:r>
        <w:rPr>
          <w:rFonts w:ascii="Calibri" w:hAnsi="Calibri"/>
          <w:sz w:val="22"/>
        </w:rPr>
        <w:t>Validation discoverability. Outliers and inliers are flagged in the database but have no dedicated report. The same problem applies to items that have been temporarily missing for several months, and to centrally-administered prices that move on their own cadence.</w:t>
      </w:r>
    </w:p>
    <w:p>
      <w:pPr>
        <w:pStyle w:val="ListBullet"/>
        <w:spacing w:after="40"/>
      </w:pPr>
      <w:r>
        <w:rPr>
          <w:rFonts w:ascii="Calibri" w:hAnsi="Calibri"/>
          <w:sz w:val="22"/>
        </w:rPr>
        <w:t>Operational hygiene. Slowness (KNBS), advisory-lock leaks on deleted update history, and unbounded growth of log / tracking tables are symptoms of the same maintenance debt and should be addressed as one stability pass.</w:t>
      </w:r>
    </w:p>
    <w:p>
      <w:pPr>
        <w:spacing w:after="120"/>
      </w:pPr>
      <w:r>
        <w:rPr>
          <w:rFonts w:ascii="Calibri" w:hAnsi="Calibri"/>
          <w:b w:val="0"/>
          <w:i w:val="0"/>
          <w:sz w:val="22"/>
        </w:rPr>
        <w:t>The remainder of this document breaks the full issue list into six functional groups, with a short bullet summary and a detail table for each.</w:t>
      </w:r>
    </w:p>
    <w:p>
      <w:pPr>
        <w:spacing w:before="360" w:after="120"/>
      </w:pPr>
      <w:r>
        <w:rPr>
          <w:rFonts w:ascii="Calibri" w:hAnsi="Calibri"/>
          <w:b/>
          <w:color w:val="1F3A5F"/>
          <w:sz w:val="36"/>
        </w:rPr>
        <w:t>1. Dashboard &amp; Reporting</w:t>
      </w:r>
    </w:p>
    <w:p>
      <w:pPr>
        <w:spacing w:after="120"/>
      </w:pPr>
      <w:r>
        <w:rPr>
          <w:rFonts w:ascii="Calibri" w:hAnsi="Calibri"/>
          <w:b w:val="0"/>
          <w:i/>
          <w:color w:val="555555"/>
          <w:sz w:val="22"/>
        </w:rPr>
        <w:t>The dashboard is the most visible surface of the system and the source of the largest single cluster of issues. Most items here are usability or layout improvements; two are data-state investigations specific to Uganda and Kenya.</w:t>
      </w:r>
    </w:p>
    <w:p>
      <w:pPr>
        <w:spacing w:after="120"/>
      </w:pPr>
      <w:r>
        <w:rPr>
          <w:rFonts w:ascii="Calibri" w:hAnsi="Calibri"/>
          <w:b/>
          <w:i w:val="0"/>
          <w:color w:val="2E86AB"/>
          <w:sz w:val="22"/>
        </w:rPr>
        <w:t>At a glance</w:t>
      </w:r>
    </w:p>
    <w:p>
      <w:pPr>
        <w:pStyle w:val="ListBullet"/>
        <w:spacing w:after="40"/>
      </w:pPr>
      <w:r>
        <w:rPr>
          <w:rFonts w:ascii="Calibri" w:hAnsi="Calibri"/>
          <w:sz w:val="22"/>
        </w:rPr>
        <w:t>Add month / year filter so users can view any historical period.</w:t>
      </w:r>
    </w:p>
    <w:p>
      <w:pPr>
        <w:pStyle w:val="ListBullet"/>
        <w:spacing w:after="40"/>
      </w:pPr>
      <w:r>
        <w:rPr>
          <w:rFonts w:ascii="Calibri" w:hAnsi="Calibri"/>
          <w:sz w:val="22"/>
        </w:rPr>
        <w:t>Lift the national CPI headline to the top of the page; raise the historical trend.</w:t>
      </w:r>
    </w:p>
    <w:p>
      <w:pPr>
        <w:pStyle w:val="ListBullet"/>
        <w:spacing w:after="40"/>
      </w:pPr>
      <w:r>
        <w:rPr>
          <w:rFonts w:ascii="Calibri" w:hAnsi="Calibri"/>
          <w:sz w:val="22"/>
        </w:rPr>
        <w:t>Show all twelve COICOP divisions on screen, not just flagged ones.</w:t>
      </w:r>
    </w:p>
    <w:p>
      <w:pPr>
        <w:pStyle w:val="ListBullet"/>
        <w:spacing w:after="40"/>
      </w:pPr>
      <w:r>
        <w:rPr>
          <w:rFonts w:ascii="Calibri" w:hAnsi="Calibri"/>
          <w:sz w:val="22"/>
        </w:rPr>
        <w:t>Add annual %% change and Core / Non-core cards alongside the existing series.</w:t>
      </w:r>
    </w:p>
    <w:p>
      <w:pPr>
        <w:pStyle w:val="ListBullet"/>
        <w:spacing w:after="40"/>
      </w:pPr>
      <w:r>
        <w:rPr>
          <w:rFonts w:ascii="Calibri" w:hAnsi="Calibri"/>
          <w:sz w:val="22"/>
        </w:rPr>
        <w:t>Provide a public, login-free dashboard route for external audiences.</w:t>
      </w:r>
    </w:p>
    <w:p>
      <w:pPr>
        <w:pStyle w:val="ListBullet"/>
        <w:spacing w:after="40"/>
      </w:pPr>
      <w:r>
        <w:rPr>
          <w:rFonts w:ascii="Calibri" w:hAnsi="Calibri"/>
          <w:sz w:val="22"/>
        </w:rPr>
        <w:t>Investigate Uganda dashboard showing no national figures.</w:t>
      </w:r>
    </w:p>
    <w:p>
      <w:pPr>
        <w:pStyle w:val="ListBullet"/>
        <w:spacing w:after="40"/>
      </w:pPr>
      <w:r>
        <w:rPr>
          <w:rFonts w:ascii="Calibri" w:hAnsi="Calibri"/>
          <w:sz w:val="22"/>
        </w:rPr>
        <w:t>Investigate Kenya dashboard showing 0 for every sector.</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4082"/>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2268"/>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Module / Area</w:t>
            </w:r>
          </w:p>
        </w:tc>
        <w:tc>
          <w:tcPr>
            <w:tcW w:type="dxa" w:w="850"/>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Effort</w:t>
            </w:r>
          </w:p>
        </w:tc>
        <w:tc>
          <w:tcPr>
            <w:tcW w:type="dxa" w:w="1871"/>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Branch</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1.1</w:t>
            </w:r>
          </w:p>
        </w:tc>
        <w:tc>
          <w:tcPr>
            <w:tcW w:type="dxa" w:w="4082"/>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Month / year dropdown filter</w:t>
            </w:r>
          </w:p>
        </w:tc>
        <w:tc>
          <w:tcPr>
            <w:tcW w:type="dxa" w:w="226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hcpi_dashboard</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871"/>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1.2</w:t>
            </w:r>
          </w:p>
        </w:tc>
        <w:tc>
          <w:tcPr>
            <w:tcW w:type="dxa" w:w="4082"/>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National CPI value at top; trend above the fold</w:t>
            </w:r>
          </w:p>
        </w:tc>
        <w:tc>
          <w:tcPr>
            <w:tcW w:type="dxa" w:w="226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hcpi_dashboard</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871"/>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1.3</w:t>
            </w:r>
          </w:p>
        </w:tc>
        <w:tc>
          <w:tcPr>
            <w:tcW w:type="dxa" w:w="4082"/>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Show all 12 Divisions on screen</w:t>
            </w:r>
          </w:p>
        </w:tc>
        <w:tc>
          <w:tcPr>
            <w:tcW w:type="dxa" w:w="226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hcpi_dashboard + data</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871"/>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1.4</w:t>
            </w:r>
          </w:p>
        </w:tc>
        <w:tc>
          <w:tcPr>
            <w:tcW w:type="dxa" w:w="4082"/>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Annual % change + Core / Non-core indicator cards</w:t>
            </w:r>
          </w:p>
        </w:tc>
        <w:tc>
          <w:tcPr>
            <w:tcW w:type="dxa" w:w="226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hcpi_dashboard</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871"/>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1.5</w:t>
            </w:r>
          </w:p>
        </w:tc>
        <w:tc>
          <w:tcPr>
            <w:tcW w:type="dxa" w:w="4082"/>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Public dashboard access (no login)</w:t>
            </w:r>
          </w:p>
        </w:tc>
        <w:tc>
          <w:tcPr>
            <w:tcW w:type="dxa" w:w="226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new hcpi_dashboard_public</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871"/>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1.6</w:t>
            </w:r>
          </w:p>
        </w:tc>
        <w:tc>
          <w:tcPr>
            <w:tcW w:type="dxa" w:w="4082"/>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Uganda / UBOS: no national figures on dashboard</w:t>
            </w:r>
          </w:p>
        </w:tc>
        <w:tc>
          <w:tcPr>
            <w:tcW w:type="dxa" w:w="226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data investigation</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871"/>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ug_18</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1.7</w:t>
            </w:r>
          </w:p>
        </w:tc>
        <w:tc>
          <w:tcPr>
            <w:tcW w:type="dxa" w:w="4082"/>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Kenya / KNBS: sector figures showing 0</w:t>
            </w:r>
          </w:p>
        </w:tc>
        <w:tc>
          <w:tcPr>
            <w:tcW w:type="dxa" w:w="226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data investigation</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871"/>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ke_18_mtnce</w:t>
            </w:r>
          </w:p>
        </w:tc>
      </w:tr>
    </w:tbl>
    <w:p/>
    <w:p>
      <w:pPr>
        <w:spacing w:before="360" w:after="120"/>
      </w:pPr>
      <w:r>
        <w:rPr>
          <w:rFonts w:ascii="Calibri" w:hAnsi="Calibri"/>
          <w:b/>
          <w:color w:val="1F3A5F"/>
          <w:sz w:val="36"/>
        </w:rPr>
        <w:t>2. Data Collection &amp; Validation</w:t>
      </w:r>
    </w:p>
    <w:p>
      <w:pPr>
        <w:spacing w:after="120"/>
      </w:pPr>
      <w:r>
        <w:rPr>
          <w:rFonts w:ascii="Calibri" w:hAnsi="Calibri"/>
          <w:b w:val="0"/>
          <w:i/>
          <w:color w:val="555555"/>
          <w:sz w:val="22"/>
        </w:rPr>
        <w:t>Field workflow and quality control. Most items are additive (new reports, smarter checks) and ship from the shared 18.0 branch. The Kenya progress-bar bug and the Tanzania offline-confirmation request are the only country-flavoured items.</w:t>
      </w:r>
    </w:p>
    <w:p>
      <w:pPr>
        <w:spacing w:after="120"/>
      </w:pPr>
      <w:r>
        <w:rPr>
          <w:rFonts w:ascii="Calibri" w:hAnsi="Calibri"/>
          <w:b/>
          <w:i w:val="0"/>
          <w:color w:val="2E86AB"/>
          <w:sz w:val="22"/>
        </w:rPr>
        <w:t>At a glance</w:t>
      </w:r>
    </w:p>
    <w:p>
      <w:pPr>
        <w:pStyle w:val="ListBullet"/>
        <w:spacing w:after="40"/>
      </w:pPr>
      <w:r>
        <w:rPr>
          <w:rFonts w:ascii="Calibri" w:hAnsi="Calibri"/>
          <w:sz w:val="22"/>
        </w:rPr>
        <w:t>Build a dedicated report of outlier and inlier flags raised by validation.</w:t>
      </w:r>
    </w:p>
    <w:p>
      <w:pPr>
        <w:pStyle w:val="ListBullet"/>
        <w:spacing w:after="40"/>
      </w:pPr>
      <w:r>
        <w:rPr>
          <w:rFonts w:ascii="Calibri" w:hAnsi="Calibri"/>
          <w:sz w:val="22"/>
        </w:rPr>
        <w:t>Surface items that have been temporarily missing for three months or more.</w:t>
      </w:r>
    </w:p>
    <w:p>
      <w:pPr>
        <w:pStyle w:val="ListBullet"/>
        <w:spacing w:after="40"/>
      </w:pPr>
      <w:r>
        <w:rPr>
          <w:rFonts w:ascii="Calibri" w:hAnsi="Calibri"/>
          <w:sz w:val="22"/>
        </w:rPr>
        <w:t>Add a Data Collection Analytics view: counts by state, by outlet / centre / national.</w:t>
      </w:r>
    </w:p>
    <w:p>
      <w:pPr>
        <w:pStyle w:val="ListBullet"/>
        <w:spacing w:after="40"/>
      </w:pPr>
      <w:r>
        <w:rPr>
          <w:rFonts w:ascii="Calibri" w:hAnsi="Calibri"/>
          <w:sz w:val="22"/>
        </w:rPr>
        <w:t>Fix the KNBS progress bar dropping from 100%% to 67%% after validation.</w:t>
      </w:r>
    </w:p>
    <w:p>
      <w:pPr>
        <w:pStyle w:val="ListBullet"/>
        <w:spacing w:after="40"/>
      </w:pPr>
      <w:r>
        <w:rPr>
          <w:rFonts w:ascii="Calibri" w:hAnsi="Calibri"/>
          <w:sz w:val="22"/>
        </w:rPr>
        <w:t>Extend the Tukey outlier check into three severity tiers (24 / 12 / 6 months).</w:t>
      </w:r>
    </w:p>
    <w:p>
      <w:pPr>
        <w:pStyle w:val="ListBullet"/>
        <w:spacing w:after="40"/>
      </w:pPr>
      <w:r>
        <w:rPr>
          <w:rFonts w:ascii="Calibri" w:hAnsi="Calibri"/>
          <w:sz w:val="22"/>
        </w:rPr>
        <w:t>Strengthen the inlier check to detect identical month-on-month change patterns.</w:t>
      </w:r>
    </w:p>
    <w:p>
      <w:pPr>
        <w:pStyle w:val="ListBullet"/>
        <w:spacing w:after="40"/>
      </w:pPr>
      <w:r>
        <w:rPr>
          <w:rFonts w:ascii="Calibri" w:hAnsi="Calibri"/>
          <w:sz w:val="22"/>
        </w:rPr>
        <w:t>Flag changes to centrally-administered prices for separate review.</w:t>
      </w:r>
    </w:p>
    <w:p>
      <w:pPr>
        <w:pStyle w:val="ListBullet"/>
        <w:spacing w:after="40"/>
      </w:pPr>
      <w:r>
        <w:rPr>
          <w:rFonts w:ascii="Calibri" w:hAnsi="Calibri"/>
          <w:sz w:val="22"/>
        </w:rPr>
        <w:t>Ensure collected data reliably reaches the permanent observations table.</w:t>
      </w:r>
    </w:p>
    <w:p>
      <w:pPr>
        <w:pStyle w:val="ListBullet"/>
        <w:spacing w:after="40"/>
      </w:pPr>
      <w:r>
        <w:rPr>
          <w:rFonts w:ascii="Calibri" w:hAnsi="Calibri"/>
          <w:sz w:val="22"/>
        </w:rPr>
        <w:t>Confirm and document offline behaviour of the collection tablet (NBS request).</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3685"/>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2948"/>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Module / Area</w:t>
            </w:r>
          </w:p>
        </w:tc>
        <w:tc>
          <w:tcPr>
            <w:tcW w:type="dxa" w:w="850"/>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Effort</w:t>
            </w:r>
          </w:p>
        </w:tc>
        <w:tc>
          <w:tcPr>
            <w:tcW w:type="dxa" w:w="158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Branch</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2.1</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Report of flagged outliers and inliers</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hcpi_data_collection</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2.2</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Indicator + report for items missing 3+ months</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hcpi_outlet</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2.3</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Data Collection Analytics by state and geography</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hcpi_data_collection</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2.4</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KNBS progress bar: 100% then drops to 67%</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hcpi_data_collection</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2.5</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Three-tier outliers (24 / 12 / 6 mo)</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hcpi_data_collection (run_turkey)</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2.6</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Smarter inliers: same-change pattern check</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hcpi_data_collection (validate_inliers)</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2.7</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Flag changes in centrally-administered prices</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hcpi_item + small dashboard</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2.8</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Collected data must reach observations</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hcpi_data_collection (action_approve)</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2.9</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NBS: confirm offline tablet behaviour</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test + docs</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docs</w:t>
            </w:r>
          </w:p>
        </w:tc>
      </w:tr>
    </w:tbl>
    <w:p/>
    <w:p>
      <w:pPr>
        <w:spacing w:before="360" w:after="120"/>
      </w:pPr>
      <w:r>
        <w:rPr>
          <w:rFonts w:ascii="Calibri" w:hAnsi="Calibri"/>
          <w:b/>
          <w:color w:val="1F3A5F"/>
          <w:sz w:val="36"/>
        </w:rPr>
        <w:t>3. Computations &amp; Index Logic</w:t>
      </w:r>
    </w:p>
    <w:p>
      <w:pPr>
        <w:spacing w:after="120"/>
      </w:pPr>
      <w:r>
        <w:rPr>
          <w:rFonts w:ascii="Calibri" w:hAnsi="Calibri"/>
          <w:b w:val="0"/>
          <w:i/>
          <w:color w:val="555555"/>
          <w:sz w:val="22"/>
        </w:rPr>
        <w:t>Changes to how the index itself is produced. The formal review is already drafted in HCPI_COMPUTATION_FLOW.md — the remaining work is exposing computation detail to statisticians, giving operators more control over recomputation, and a methodology-dependent provisional-index workflow.</w:t>
      </w:r>
    </w:p>
    <w:p>
      <w:pPr>
        <w:spacing w:after="120"/>
      </w:pPr>
      <w:r>
        <w:rPr>
          <w:rFonts w:ascii="Calibri" w:hAnsi="Calibri"/>
          <w:b/>
          <w:i w:val="0"/>
          <w:color w:val="2E86AB"/>
          <w:sz w:val="22"/>
        </w:rPr>
        <w:t>At a glance</w:t>
      </w:r>
    </w:p>
    <w:p>
      <w:pPr>
        <w:pStyle w:val="ListBullet"/>
        <w:spacing w:after="40"/>
      </w:pPr>
      <w:r>
        <w:rPr>
          <w:rFonts w:ascii="Calibri" w:hAnsi="Calibri"/>
          <w:sz w:val="22"/>
        </w:rPr>
        <w:t>Publish the formal review of how computations work (already drafted).</w:t>
      </w:r>
    </w:p>
    <w:p>
      <w:pPr>
        <w:pStyle w:val="ListBullet"/>
        <w:spacing w:after="40"/>
      </w:pPr>
      <w:r>
        <w:rPr>
          <w:rFonts w:ascii="Calibri" w:hAnsi="Calibri"/>
          <w:sz w:val="22"/>
        </w:rPr>
        <w:t>Add a “show the math” view for individual EA index values (KNBS request).</w:t>
      </w:r>
    </w:p>
    <w:p>
      <w:pPr>
        <w:pStyle w:val="ListBullet"/>
        <w:spacing w:after="40"/>
      </w:pPr>
      <w:r>
        <w:rPr>
          <w:rFonts w:ascii="Calibri" w:hAnsi="Calibri"/>
          <w:sz w:val="22"/>
        </w:rPr>
        <w:t>Add Period and Division filters to all index-update wizards.</w:t>
      </w:r>
    </w:p>
    <w:p>
      <w:pPr>
        <w:pStyle w:val="ListBullet"/>
        <w:spacing w:after="40"/>
      </w:pPr>
      <w:r>
        <w:rPr>
          <w:rFonts w:ascii="Calibri" w:hAnsi="Calibri"/>
          <w:sz w:val="22"/>
        </w:rPr>
        <w:t>Provisional index that carries forward last month’s values (methodology decision needed).</w:t>
      </w:r>
    </w:p>
    <w:p>
      <w:pPr>
        <w:pStyle w:val="ListBullet"/>
        <w:spacing w:after="40"/>
      </w:pPr>
      <w:r>
        <w:rPr>
          <w:rFonts w:ascii="Calibri" w:hAnsi="Calibri"/>
          <w:sz w:val="22"/>
        </w:rPr>
        <w:t>Fix advisory-lock leak when update history is deleted, blocking restart.</w:t>
      </w:r>
    </w:p>
    <w:p>
      <w:pPr>
        <w:pStyle w:val="ListBullet"/>
        <w:spacing w:after="40"/>
      </w:pPr>
      <w:r>
        <w:rPr>
          <w:rFonts w:ascii="Calibri" w:hAnsi="Calibri"/>
          <w:sz w:val="22"/>
        </w:rPr>
        <w:t>Clarify KNBS request on “standard and non-standard of weights.”</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3685"/>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2948"/>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Module / Area</w:t>
            </w:r>
          </w:p>
        </w:tc>
        <w:tc>
          <w:tcPr>
            <w:tcW w:type="dxa" w:w="850"/>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Effort</w:t>
            </w:r>
          </w:p>
        </w:tc>
        <w:tc>
          <w:tcPr>
            <w:tcW w:type="dxa" w:w="158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Branch</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3.1</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Formal review of computations process</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HCPI_COMPUTATION_FLOW.md (drafted)</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docs</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3.2</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Show-the-math / in-built calculator view</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hcpi_index</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3.3</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Period + Division filters on index update wizards</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hcpi_index</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3.4</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Provisional Index — carry-forward methodology</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hcpi_index (new wizard)</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L</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3.5</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Deleted history leaves advisory lock</w:t>
            </w:r>
          </w:p>
        </w:tc>
        <w:tc>
          <w:tcPr>
            <w:tcW w:type="dxa" w:w="294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hcpi_index queue-job</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8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3.6</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KNBS: standard vs non-standard of weights</w:t>
            </w:r>
          </w:p>
        </w:tc>
        <w:tc>
          <w:tcPr>
            <w:tcW w:type="dxa" w:w="294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needs clarification</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TBD</w:t>
            </w:r>
          </w:p>
        </w:tc>
        <w:tc>
          <w:tcPr>
            <w:tcW w:type="dxa" w:w="158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TBD</w:t>
            </w:r>
          </w:p>
        </w:tc>
      </w:tr>
    </w:tbl>
    <w:p/>
    <w:p>
      <w:pPr>
        <w:spacing w:before="360" w:after="120"/>
      </w:pPr>
      <w:r>
        <w:rPr>
          <w:rFonts w:ascii="Calibri" w:hAnsi="Calibri"/>
          <w:b/>
          <w:color w:val="1F3A5F"/>
          <w:sz w:val="36"/>
        </w:rPr>
        <w:t>4. Performance &amp; Infrastructure</w:t>
      </w:r>
    </w:p>
    <w:p>
      <w:pPr>
        <w:spacing w:after="120"/>
      </w:pPr>
      <w:r>
        <w:rPr>
          <w:rFonts w:ascii="Calibri" w:hAnsi="Calibri"/>
          <w:b w:val="0"/>
          <w:i/>
          <w:color w:val="555555"/>
          <w:sz w:val="22"/>
        </w:rPr>
        <w:t>Reported by KNBS in particular but felt across instances as data accumulates. These two items are closely related and should be treated as a single stability pass.</w:t>
      </w:r>
    </w:p>
    <w:p>
      <w:pPr>
        <w:spacing w:after="120"/>
      </w:pPr>
      <w:r>
        <w:rPr>
          <w:rFonts w:ascii="Calibri" w:hAnsi="Calibri"/>
          <w:b/>
          <w:i w:val="0"/>
          <w:color w:val="2E86AB"/>
          <w:sz w:val="22"/>
        </w:rPr>
        <w:t>At a glance</w:t>
      </w:r>
    </w:p>
    <w:p>
      <w:pPr>
        <w:pStyle w:val="ListBullet"/>
        <w:spacing w:after="40"/>
      </w:pPr>
      <w:r>
        <w:rPr>
          <w:rFonts w:ascii="Calibri" w:hAnsi="Calibri"/>
          <w:sz w:val="22"/>
        </w:rPr>
        <w:t>Profile and address slowness as user count and historical data grow.</w:t>
      </w:r>
    </w:p>
    <w:p>
      <w:pPr>
        <w:pStyle w:val="ListBullet"/>
        <w:spacing w:after="40"/>
      </w:pPr>
      <w:r>
        <w:rPr>
          <w:rFonts w:ascii="Calibri" w:hAnsi="Calibri"/>
          <w:sz w:val="22"/>
        </w:rPr>
        <w:t>Audit mail.message / ir_logging growth and add retention; tune tracking=True usage.</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3855"/>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2835"/>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Module / Area</w:t>
            </w:r>
          </w:p>
        </w:tc>
        <w:tc>
          <w:tcPr>
            <w:tcW w:type="dxa" w:w="850"/>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Effort</w:t>
            </w:r>
          </w:p>
        </w:tc>
        <w:tc>
          <w:tcPr>
            <w:tcW w:type="dxa" w:w="1531"/>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Branch</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4.1</w:t>
            </w:r>
          </w:p>
        </w:tc>
        <w:tc>
          <w:tcPr>
            <w:tcW w:type="dxa" w:w="385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System slow with more users / data (KNBS)</w:t>
            </w:r>
          </w:p>
        </w:tc>
        <w:tc>
          <w:tcPr>
            <w:tcW w:type="dxa" w:w="283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profiling first</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L</w:t>
            </w:r>
          </w:p>
        </w:tc>
        <w:tc>
          <w:tcPr>
            <w:tcW w:type="dxa" w:w="1531"/>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 + per-instance config</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4.2</w:t>
            </w:r>
          </w:p>
        </w:tc>
        <w:tc>
          <w:tcPr>
            <w:tcW w:type="dxa" w:w="385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Large log tables inflating DB and slowing queries</w:t>
            </w:r>
          </w:p>
        </w:tc>
        <w:tc>
          <w:tcPr>
            <w:tcW w:type="dxa" w:w="283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tracking audit + retention cron</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531"/>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w:t>
            </w:r>
          </w:p>
        </w:tc>
      </w:tr>
    </w:tbl>
    <w:p/>
    <w:p>
      <w:pPr>
        <w:spacing w:before="360" w:after="120"/>
      </w:pPr>
      <w:r>
        <w:rPr>
          <w:rFonts w:ascii="Calibri" w:hAnsi="Calibri"/>
          <w:b/>
          <w:color w:val="1F3A5F"/>
          <w:sz w:val="36"/>
        </w:rPr>
        <w:t>5. Cross-Country &amp; Governance</w:t>
      </w:r>
    </w:p>
    <w:p>
      <w:pPr>
        <w:spacing w:after="120"/>
      </w:pPr>
      <w:r>
        <w:rPr>
          <w:rFonts w:ascii="Calibri" w:hAnsi="Calibri"/>
          <w:b w:val="0"/>
          <w:i/>
          <w:color w:val="555555"/>
          <w:sz w:val="22"/>
        </w:rPr>
        <w:t>Items that span multiple countries, require coordination with EAC, or are administrative rather than engineering tasks.</w:t>
      </w:r>
    </w:p>
    <w:p>
      <w:pPr>
        <w:spacing w:after="120"/>
      </w:pPr>
      <w:r>
        <w:rPr>
          <w:rFonts w:ascii="Calibri" w:hAnsi="Calibri"/>
          <w:b/>
          <w:i w:val="0"/>
          <w:color w:val="2E86AB"/>
          <w:sz w:val="22"/>
        </w:rPr>
        <w:t>At a glance</w:t>
      </w:r>
    </w:p>
    <w:p>
      <w:pPr>
        <w:pStyle w:val="ListBullet"/>
        <w:spacing w:after="40"/>
      </w:pPr>
      <w:r>
        <w:rPr>
          <w:rFonts w:ascii="Calibri" w:hAnsi="Calibri"/>
          <w:sz w:val="22"/>
        </w:rPr>
        <w:t>Review the EAC Secretariat sync — cron schedules, integration users, API keys.</w:t>
      </w:r>
    </w:p>
    <w:p>
      <w:pPr>
        <w:pStyle w:val="ListBullet"/>
        <w:spacing w:after="40"/>
      </w:pPr>
      <w:r>
        <w:rPr>
          <w:rFonts w:ascii="Calibri" w:hAnsi="Calibri"/>
          <w:sz w:val="22"/>
        </w:rPr>
        <w:t>Standardise item codes across the four countries so cross-country reporting is possible.</w:t>
      </w:r>
    </w:p>
    <w:p>
      <w:pPr>
        <w:pStyle w:val="ListBullet"/>
        <w:spacing w:after="40"/>
      </w:pPr>
      <w:r>
        <w:rPr>
          <w:rFonts w:ascii="Calibri" w:hAnsi="Calibri"/>
          <w:sz w:val="22"/>
        </w:rPr>
        <w:t>Publish a documentation page enumerating the XML-RPC endpoints the mobile app uses.</w:t>
      </w:r>
    </w:p>
    <w:p>
      <w:pPr>
        <w:pStyle w:val="ListBullet"/>
        <w:spacing w:after="40"/>
      </w:pPr>
      <w:r>
        <w:rPr>
          <w:rFonts w:ascii="Calibri" w:hAnsi="Calibri"/>
          <w:sz w:val="22"/>
        </w:rPr>
        <w:t>Transfer the mobile app from Kola’s Google Play account to the EAC-controlled account.</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3685"/>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3118"/>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Module / Area</w:t>
            </w:r>
          </w:p>
        </w:tc>
        <w:tc>
          <w:tcPr>
            <w:tcW w:type="dxa" w:w="850"/>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Effort</w:t>
            </w:r>
          </w:p>
        </w:tc>
        <w:tc>
          <w:tcPr>
            <w:tcW w:type="dxa" w:w="141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Branch</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5.1</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Review syncing to Secretariat Dashboard (EAC)</w:t>
            </w:r>
          </w:p>
        </w:tc>
        <w:tc>
          <w:tcPr>
            <w:tcW w:type="dxa" w:w="311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hcpi_secretariat_hub + per-country users</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w:t>
            </w:r>
          </w:p>
        </w:tc>
        <w:tc>
          <w:tcPr>
            <w:tcW w:type="dxa" w:w="141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secretariat</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5.2</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Standardise item codes across countries</w:t>
            </w:r>
          </w:p>
        </w:tc>
        <w:tc>
          <w:tcPr>
            <w:tcW w:type="dxa" w:w="311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hcpi_item + EAC-wide mapping</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L</w:t>
            </w:r>
          </w:p>
        </w:tc>
        <w:tc>
          <w:tcPr>
            <w:tcW w:type="dxa" w:w="141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shared + data per country</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5.3</w:t>
            </w:r>
          </w:p>
        </w:tc>
        <w:tc>
          <w:tcPr>
            <w:tcW w:type="dxa" w:w="368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Document XML / RPC endpoints</w:t>
            </w:r>
          </w:p>
        </w:tc>
        <w:tc>
          <w:tcPr>
            <w:tcW w:type="dxa" w:w="311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docs page</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41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docs</w:t>
            </w:r>
          </w:p>
        </w:tc>
      </w:tr>
      <w:tr>
        <w:tc>
          <w:tcPr>
            <w:tcW w:type="dxa" w:w="56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5.4</w:t>
            </w:r>
          </w:p>
        </w:tc>
        <w:tc>
          <w:tcPr>
            <w:tcW w:type="dxa" w:w="3685"/>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Transfer mobile app to EAC Google Play</w:t>
            </w:r>
          </w:p>
        </w:tc>
        <w:tc>
          <w:tcPr>
            <w:tcW w:type="dxa" w:w="3118"/>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admin / account transfer</w:t>
            </w:r>
          </w:p>
        </w:tc>
        <w:tc>
          <w:tcPr>
            <w:tcW w:type="dxa" w:w="850"/>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S</w:t>
            </w:r>
          </w:p>
        </w:tc>
        <w:tc>
          <w:tcPr>
            <w:tcW w:type="dxa" w:w="1417"/>
            <w:shd w:val="clear" w:color="auto" w:fill="EEF3F8"/>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N/A</w:t>
            </w:r>
          </w:p>
        </w:tc>
      </w:tr>
    </w:tbl>
    <w:p/>
    <w:p>
      <w:pPr>
        <w:spacing w:before="360" w:after="120"/>
      </w:pPr>
      <w:r>
        <w:rPr>
          <w:rFonts w:ascii="Calibri" w:hAnsi="Calibri"/>
          <w:b/>
          <w:color w:val="1F3A5F"/>
          <w:sz w:val="36"/>
        </w:rPr>
        <w:t>6. Mobile App (Separate Repository)</w:t>
      </w:r>
    </w:p>
    <w:p>
      <w:pPr>
        <w:spacing w:after="120"/>
      </w:pPr>
      <w:r>
        <w:rPr>
          <w:rFonts w:ascii="Calibri" w:hAnsi="Calibri"/>
          <w:b w:val="0"/>
          <w:i/>
          <w:color w:val="555555"/>
          <w:sz w:val="22"/>
        </w:rPr>
        <w:t>The Flutter mobile app is in a separate code repository — server-side changes here are only needed if new fields must be received on submission.</w:t>
      </w:r>
    </w:p>
    <w:p>
      <w:pPr>
        <w:spacing w:after="120"/>
      </w:pPr>
      <w:r>
        <w:rPr>
          <w:rFonts w:ascii="Calibri" w:hAnsi="Calibri"/>
          <w:b/>
          <w:i w:val="0"/>
          <w:color w:val="2E86AB"/>
          <w:sz w:val="22"/>
        </w:rPr>
        <w:t>At a glance</w:t>
      </w:r>
    </w:p>
    <w:p>
      <w:pPr>
        <w:pStyle w:val="ListBullet"/>
        <w:spacing w:after="40"/>
      </w:pPr>
      <w:r>
        <w:rPr>
          <w:rFonts w:ascii="Calibri" w:hAnsi="Calibri"/>
          <w:sz w:val="22"/>
        </w:rPr>
        <w:t>Investigate why GPS coordinates are not captured during data collection (NBS).</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4252"/>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2665"/>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Module / Area</w:t>
            </w:r>
          </w:p>
        </w:tc>
        <w:tc>
          <w:tcPr>
            <w:tcW w:type="dxa" w:w="850"/>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Effort</w:t>
            </w:r>
          </w:p>
        </w:tc>
        <w:tc>
          <w:tcPr>
            <w:tcW w:type="dxa" w:w="1304"/>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Branch</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6.1</w:t>
            </w:r>
          </w:p>
        </w:tc>
        <w:tc>
          <w:tcPr>
            <w:tcW w:type="dxa" w:w="4252"/>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NBS: GPS not captured during data collection</w:t>
            </w:r>
          </w:p>
        </w:tc>
        <w:tc>
          <w:tcPr>
            <w:tcW w:type="dxa" w:w="2665"/>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Flutter app</w:t>
            </w:r>
          </w:p>
        </w:tc>
        <w:tc>
          <w:tcPr>
            <w:tcW w:type="dxa" w:w="850"/>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L</w:t>
            </w:r>
          </w:p>
        </w:tc>
        <w:tc>
          <w:tcPr>
            <w:tcW w:type="dxa" w:w="1304"/>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mobile app repo</w:t>
            </w:r>
          </w:p>
        </w:tc>
      </w:tr>
    </w:tbl>
    <w:p/>
    <w:p>
      <w:pPr>
        <w:spacing w:before="360" w:after="120"/>
      </w:pPr>
      <w:r>
        <w:rPr>
          <w:rFonts w:ascii="Calibri" w:hAnsi="Calibri"/>
          <w:b/>
          <w:color w:val="1F3A5F"/>
          <w:sz w:val="36"/>
        </w:rPr>
        <w:t>7. Already Resolved</w:t>
      </w:r>
    </w:p>
    <w:p>
      <w:pPr>
        <w:spacing w:after="120"/>
      </w:pPr>
      <w:r>
        <w:rPr>
          <w:rFonts w:ascii="Calibri" w:hAnsi="Calibri"/>
          <w:b w:val="0"/>
          <w:i/>
          <w:color w:val="555555"/>
          <w:sz w:val="22"/>
        </w:rPr>
        <w:t>Items reported but already closed at the time of writing.</w:t>
      </w:r>
    </w:p>
    <w:p>
      <w:pPr>
        <w:spacing w:after="120"/>
      </w:pPr>
      <w:r>
        <w:rPr>
          <w:rFonts w:ascii="Calibri" w:hAnsi="Calibri"/>
          <w:b/>
          <w:i w:val="0"/>
          <w:color w:val="2E86AB"/>
          <w:sz w:val="22"/>
        </w:rPr>
        <w:t>At a glance</w:t>
      </w:r>
    </w:p>
    <w:p>
      <w:pPr>
        <w:pStyle w:val="ListBullet"/>
        <w:spacing w:after="40"/>
      </w:pPr>
      <w:r>
        <w:rPr>
          <w:rFonts w:ascii="Calibri" w:hAnsi="Calibri"/>
          <w:sz w:val="22"/>
        </w:rPr>
        <w:t>OCGS: unable to update EA Indices — resolved.</w:t>
      </w:r>
    </w:p>
    <w:p>
      <w:pPr>
        <w:spacing w:after="120"/>
      </w:pPr>
      <w:r>
        <w:rPr>
          <w:rFonts w:ascii="Calibri" w:hAnsi="Calibri"/>
          <w:b/>
          <w:i w:val="0"/>
          <w:color w:val="2E86AB"/>
          <w:sz w:val="22"/>
        </w:rPr>
        <w:t>Details</w:t>
      </w:r>
    </w:p>
    <w:tbl>
      <w:tblPr>
        <w:tblW w:type="auto" w:w="0"/>
        <w:jc w:val="center"/>
        <w:tblLayout w:type="fixed"/>
        <w:tblLook w:firstColumn="1" w:firstRow="1" w:lastColumn="0" w:lastRow="0" w:noHBand="0" w:noVBand="1" w:val="04A0"/>
      </w:tblPr>
      <w:tblGrid>
        <w:gridCol w:w="3324"/>
        <w:gridCol w:w="3324"/>
        <w:gridCol w:w="3324"/>
      </w:tblGrid>
      <w:tr>
        <w:tc>
          <w:tcPr>
            <w:tcW w:type="dxa" w:w="567"/>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w:t>
            </w:r>
          </w:p>
        </w:tc>
        <w:tc>
          <w:tcPr>
            <w:tcW w:type="dxa" w:w="5953"/>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Issue</w:t>
            </w:r>
          </w:p>
        </w:tc>
        <w:tc>
          <w:tcPr>
            <w:tcW w:type="dxa" w:w="3118"/>
            <w:shd w:val="clear" w:color="auto" w:fill="1F3A5F"/>
            <w:tcBorders>
              <w:top w:val="single" w:sz="4" w:color="BFBFBF"/>
              <w:left w:val="single" w:sz="4" w:color="BFBFBF"/>
              <w:bottom w:val="single" w:sz="4" w:color="BFBFBF"/>
              <w:right w:val="single" w:sz="4" w:color="BFBFBF"/>
            </w:tcBorders>
            <w:vAlign w:val="center"/>
          </w:tcPr>
          <w:p>
            <w:pPr>
              <w:spacing w:before="40" w:after="40"/>
            </w:pPr>
            <w:r/>
            <w:r>
              <w:rPr>
                <w:rFonts w:ascii="Calibri" w:hAnsi="Calibri"/>
                <w:b/>
                <w:color w:val="FFFFFF"/>
                <w:sz w:val="21"/>
              </w:rPr>
              <w:t>Status</w:t>
            </w:r>
          </w:p>
        </w:tc>
      </w:tr>
      <w:tr>
        <w:tc>
          <w:tcPr>
            <w:tcW w:type="dxa" w:w="567"/>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7.1</w:t>
            </w:r>
          </w:p>
        </w:tc>
        <w:tc>
          <w:tcPr>
            <w:tcW w:type="dxa" w:w="5953"/>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OCGS: unable to update EA Indices</w:t>
            </w:r>
          </w:p>
        </w:tc>
        <w:tc>
          <w:tcPr>
            <w:tcW w:type="dxa" w:w="3118"/>
            <w:shd w:val="clear" w:color="auto" w:fill="FFFFFF"/>
            <w:tcBorders>
              <w:top w:val="single" w:sz="4" w:color="BFBFBF"/>
              <w:left w:val="single" w:sz="4" w:color="BFBFBF"/>
              <w:bottom w:val="single" w:sz="4" w:color="BFBFBF"/>
              <w:right w:val="single" w:sz="4" w:color="BFBFBF"/>
            </w:tcBorders>
            <w:vAlign w:val="center"/>
          </w:tcPr>
          <w:p>
            <w:pPr>
              <w:spacing w:before="20" w:after="20"/>
            </w:pPr>
            <w:r/>
            <w:r>
              <w:rPr>
                <w:rFonts w:ascii="Calibri" w:hAnsi="Calibri"/>
                <w:sz w:val="20"/>
              </w:rPr>
              <w:t>Resolved</w:t>
            </w:r>
          </w:p>
        </w:tc>
      </w:tr>
    </w:tbl>
    <w:p/>
    <w:p>
      <w:pPr>
        <w:spacing w:before="360" w:after="120"/>
      </w:pPr>
      <w:r>
        <w:rPr>
          <w:rFonts w:ascii="Calibri" w:hAnsi="Calibri"/>
          <w:b/>
          <w:color w:val="1F3A5F"/>
          <w:sz w:val="36"/>
        </w:rPr>
        <w:t>Recommended Sequencing</w:t>
      </w:r>
    </w:p>
    <w:p>
      <w:pPr>
        <w:spacing w:after="120"/>
      </w:pPr>
      <w:r>
        <w:rPr>
          <w:rFonts w:ascii="Calibri" w:hAnsi="Calibri"/>
          <w:b w:val="0"/>
          <w:i w:val="0"/>
          <w:sz w:val="22"/>
        </w:rPr>
        <w:t>If picked up in order, the items below answer the largest share of the reported complaints with the lowest implementation risk.</w:t>
      </w:r>
    </w:p>
    <w:p>
      <w:pPr>
        <w:spacing w:after="120"/>
      </w:pPr>
      <w:r>
        <w:rPr>
          <w:rFonts w:ascii="Calibri" w:hAnsi="Calibri"/>
          <w:b/>
          <w:i w:val="0"/>
          <w:color w:val="2E86AB"/>
          <w:sz w:val="22"/>
        </w:rPr>
        <w:t>Sprint 1 — Dashboard refresh (one shared PR)</w:t>
      </w:r>
    </w:p>
    <w:p>
      <w:pPr>
        <w:pStyle w:val="ListBullet"/>
        <w:spacing w:after="40"/>
      </w:pPr>
      <w:r>
        <w:rPr>
          <w:rFonts w:ascii="Calibri" w:hAnsi="Calibri"/>
          <w:sz w:val="22"/>
        </w:rPr>
        <w:t>1.1, 1.2, 1.3, 1.4, 2.1, 2.2, 2.3</w:t>
      </w:r>
    </w:p>
    <w:p>
      <w:pPr>
        <w:spacing w:after="120"/>
      </w:pPr>
      <w:r>
        <w:rPr>
          <w:rFonts w:ascii="Calibri" w:hAnsi="Calibri"/>
          <w:b/>
          <w:i w:val="0"/>
          <w:color w:val="2E86AB"/>
          <w:sz w:val="22"/>
        </w:rPr>
        <w:t>Sprint 2 — Stability pass</w:t>
      </w:r>
    </w:p>
    <w:p>
      <w:pPr>
        <w:pStyle w:val="ListBullet"/>
        <w:spacing w:after="40"/>
      </w:pPr>
      <w:r>
        <w:rPr>
          <w:rFonts w:ascii="Calibri" w:hAnsi="Calibri"/>
          <w:sz w:val="22"/>
        </w:rPr>
        <w:t>2.4 (progress bug), 4.1 + 4.2 (slowness and log retention together), 3.5 (lock cleanup)</w:t>
      </w:r>
    </w:p>
    <w:p>
      <w:pPr>
        <w:spacing w:after="120"/>
      </w:pPr>
      <w:r>
        <w:rPr>
          <w:rFonts w:ascii="Calibri" w:hAnsi="Calibri"/>
          <w:b/>
          <w:i w:val="0"/>
          <w:color w:val="2E86AB"/>
          <w:sz w:val="22"/>
        </w:rPr>
        <w:t>Sprint 3 — Validation enhancements (methodology sign-off needed)</w:t>
      </w:r>
    </w:p>
    <w:p>
      <w:pPr>
        <w:pStyle w:val="ListBullet"/>
        <w:spacing w:after="40"/>
      </w:pPr>
      <w:r>
        <w:rPr>
          <w:rFonts w:ascii="Calibri" w:hAnsi="Calibri"/>
          <w:sz w:val="22"/>
        </w:rPr>
        <w:t>2.5, 2.6, 2.7, 3.2, 3.3</w:t>
      </w:r>
    </w:p>
    <w:p>
      <w:pPr>
        <w:spacing w:after="120"/>
      </w:pPr>
      <w:r>
        <w:rPr>
          <w:rFonts w:ascii="Calibri" w:hAnsi="Calibri"/>
          <w:b/>
          <w:i w:val="0"/>
          <w:color w:val="2E86AB"/>
          <w:sz w:val="22"/>
        </w:rPr>
        <w:t>Investigation backlog (do before further sizing)</w:t>
      </w:r>
    </w:p>
    <w:p>
      <w:pPr>
        <w:pStyle w:val="ListBullet"/>
        <w:spacing w:after="40"/>
      </w:pPr>
      <w:r>
        <w:rPr>
          <w:rFonts w:ascii="Calibri" w:hAnsi="Calibri"/>
          <w:sz w:val="22"/>
        </w:rPr>
        <w:t>1.6, 1.7 — require database snapshots from Uganda and Kenya.</w:t>
      </w:r>
    </w:p>
    <w:p>
      <w:pPr>
        <w:pStyle w:val="ListBullet"/>
        <w:spacing w:after="40"/>
      </w:pPr>
      <w:r>
        <w:rPr>
          <w:rFonts w:ascii="Calibri" w:hAnsi="Calibri"/>
          <w:sz w:val="22"/>
        </w:rPr>
        <w:t>5.1 — audit Secretariat sync state with each country team.</w:t>
      </w:r>
    </w:p>
    <w:p>
      <w:pPr>
        <w:pStyle w:val="ListBullet"/>
        <w:spacing w:after="40"/>
      </w:pPr>
      <w:r>
        <w:rPr>
          <w:rFonts w:ascii="Calibri" w:hAnsi="Calibri"/>
          <w:sz w:val="22"/>
        </w:rPr>
        <w:t>3.6 — clarify KNBS request with the reporter.</w:t>
      </w:r>
    </w:p>
    <w:p>
      <w:pPr>
        <w:spacing w:after="120"/>
      </w:pPr>
      <w:r>
        <w:rPr>
          <w:rFonts w:ascii="Calibri" w:hAnsi="Calibri"/>
          <w:b/>
          <w:i w:val="0"/>
          <w:color w:val="2E86AB"/>
          <w:sz w:val="22"/>
        </w:rPr>
        <w:t>Governance and non-engineering</w:t>
      </w:r>
    </w:p>
    <w:p>
      <w:pPr>
        <w:pStyle w:val="ListBullet"/>
        <w:spacing w:after="40"/>
      </w:pPr>
      <w:r>
        <w:rPr>
          <w:rFonts w:ascii="Calibri" w:hAnsi="Calibri"/>
          <w:sz w:val="22"/>
        </w:rPr>
        <w:t>3.1 publish review, 3.4 methodology sign-off, 5.2 cross-country code agreement, 5.4 Google Play transfer.</w:t>
      </w:r>
    </w:p>
    <w:p/>
    <w:p>
      <w:pPr>
        <w:spacing w:after="120"/>
      </w:pPr>
      <w:r>
        <w:rPr>
          <w:rFonts w:ascii="Calibri" w:hAnsi="Calibri"/>
          <w:b w:val="0"/>
          <w:i/>
          <w:color w:val="555555"/>
          <w:sz w:val="19"/>
        </w:rPr>
        <w:t>Source: reported-issues.md. Detailed per-issue analysis (root cause, files touched, rationale): see issue-triage.md.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