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4A" w:rsidRPr="00215399" w:rsidRDefault="004C3B4A" w:rsidP="0021539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 xml:space="preserve">Churn Analysis Report for a </w:t>
      </w:r>
      <w:proofErr w:type="spellStart"/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TeleCom</w:t>
      </w:r>
      <w:proofErr w:type="spellEnd"/>
    </w:p>
    <w:p w:rsidR="004C3B4A" w:rsidRPr="00215399" w:rsidRDefault="004C3B4A" w:rsidP="0021539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Introduction</w:t>
      </w:r>
    </w:p>
    <w:p w:rsidR="004C3B4A" w:rsidRPr="00215399" w:rsidRDefault="007C43C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Customer Churn is a critical challenge for businesses as it directly impacts a company</w:t>
      </w:r>
      <w:r w:rsidR="009212F0" w:rsidRPr="00215399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s financial health, operational efficiency, brand reputation and ability to compete and thrive in the market. </w:t>
      </w:r>
      <w:r w:rsidR="004C3B4A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This report contains a comprehensive churn Analysis for a 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Telecommunication project to understand customer attrition patterns and identify strategies for retention</w:t>
      </w:r>
      <w:r w:rsidR="00C86DD3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and overall health and longe</w:t>
      </w:r>
      <w:r w:rsidR="009212F0" w:rsidRPr="00215399">
        <w:rPr>
          <w:rFonts w:ascii="Times New Roman" w:hAnsi="Times New Roman" w:cs="Times New Roman"/>
          <w:sz w:val="24"/>
          <w:szCs w:val="24"/>
          <w:lang w:val="en-GB"/>
        </w:rPr>
        <w:t>vity of the business.</w:t>
      </w:r>
    </w:p>
    <w:p w:rsidR="007C43CC" w:rsidRPr="00215399" w:rsidRDefault="009212F0" w:rsidP="0021539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Data</w:t>
      </w:r>
    </w:p>
    <w:p w:rsidR="009212F0" w:rsidRPr="00215399" w:rsidRDefault="009212F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The Telco Customer churn dataset contains information about customer demographics, services subscribed, contract details and churn status. Our objective is to use pivot tables and charts </w:t>
      </w:r>
      <w:r w:rsidR="00354E3F" w:rsidRPr="00215399">
        <w:rPr>
          <w:rFonts w:ascii="Times New Roman" w:hAnsi="Times New Roman" w:cs="Times New Roman"/>
          <w:sz w:val="24"/>
          <w:szCs w:val="24"/>
          <w:lang w:val="en-GB"/>
        </w:rPr>
        <w:t>to analyse data and gain insights.</w:t>
      </w:r>
    </w:p>
    <w:p w:rsidR="00354E3F" w:rsidRPr="00215399" w:rsidRDefault="00354E3F" w:rsidP="0021539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Methodology</w:t>
      </w:r>
    </w:p>
    <w:p w:rsidR="00354E3F" w:rsidRPr="00215399" w:rsidRDefault="00354E3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To achieve our aims, we take the following steps:</w:t>
      </w:r>
    </w:p>
    <w:p w:rsidR="00354E3F" w:rsidRPr="00215399" w:rsidRDefault="00354E3F" w:rsidP="00C86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b/>
          <w:sz w:val="24"/>
          <w:szCs w:val="24"/>
          <w:lang w:val="en-GB"/>
        </w:rPr>
        <w:t>Data Pre</w:t>
      </w:r>
      <w:r w:rsidR="00C86DD3" w:rsidRPr="00215399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  <w:r w:rsidRPr="00215399">
        <w:rPr>
          <w:rFonts w:ascii="Times New Roman" w:hAnsi="Times New Roman" w:cs="Times New Roman"/>
          <w:b/>
          <w:sz w:val="24"/>
          <w:szCs w:val="24"/>
          <w:lang w:val="en-GB"/>
        </w:rPr>
        <w:t>processing</w:t>
      </w:r>
      <w:r w:rsidR="00BD789A" w:rsidRPr="00215399">
        <w:rPr>
          <w:rFonts w:ascii="Times New Roman" w:hAnsi="Times New Roman" w:cs="Times New Roman"/>
          <w:sz w:val="24"/>
          <w:szCs w:val="24"/>
          <w:lang w:val="en-GB"/>
        </w:rPr>
        <w:t>: C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hurn analysis is built on snapshots</w:t>
      </w:r>
      <w:r w:rsidR="00BA5BBD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which show active customers and their attributes in the beginning of the period. </w:t>
      </w:r>
    </w:p>
    <w:p w:rsidR="00BA5BBD" w:rsidRPr="00215399" w:rsidRDefault="00BA5BBD" w:rsidP="00BD7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b/>
          <w:sz w:val="24"/>
          <w:szCs w:val="24"/>
          <w:lang w:val="en-GB"/>
        </w:rPr>
        <w:t>Exploratory data analysis</w:t>
      </w:r>
      <w:r w:rsidR="00BD789A" w:rsidRPr="00215399">
        <w:rPr>
          <w:rFonts w:ascii="Times New Roman" w:hAnsi="Times New Roman" w:cs="Times New Roman"/>
          <w:sz w:val="24"/>
          <w:szCs w:val="24"/>
          <w:lang w:val="en-GB"/>
        </w:rPr>
        <w:t>: W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e began by performing exploratory data analysis to understand the characteristics of the dataset. We examined the distribution of custom</w:t>
      </w:r>
      <w:r w:rsidR="00C86DD3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er churn and found that </w:t>
      </w:r>
      <w:r w:rsidR="00C86DD3" w:rsidRPr="00215399">
        <w:rPr>
          <w:rFonts w:ascii="Times New Roman" w:hAnsi="Times New Roman" w:cs="Times New Roman"/>
          <w:b/>
          <w:sz w:val="24"/>
          <w:szCs w:val="24"/>
          <w:lang w:val="en-GB"/>
        </w:rPr>
        <w:t>approxi</w:t>
      </w:r>
      <w:r w:rsidRPr="00215399">
        <w:rPr>
          <w:rFonts w:ascii="Times New Roman" w:hAnsi="Times New Roman" w:cs="Times New Roman"/>
          <w:b/>
          <w:sz w:val="24"/>
          <w:szCs w:val="24"/>
          <w:lang w:val="en-GB"/>
        </w:rPr>
        <w:t>mately 26.5%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of customers in the dataset churned, </w:t>
      </w:r>
      <w:r w:rsidR="00C86DD3" w:rsidRPr="00215399">
        <w:rPr>
          <w:rFonts w:ascii="Times New Roman" w:hAnsi="Times New Roman" w:cs="Times New Roman"/>
          <w:sz w:val="24"/>
          <w:szCs w:val="24"/>
          <w:lang w:val="en-GB"/>
        </w:rPr>
        <w:t>indicating a significant challen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ge for the Telco company. </w:t>
      </w:r>
      <w:r w:rsidR="00C86DD3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We also observed that 75% of customers have a tenure of </w:t>
      </w:r>
      <w:r w:rsidR="00C86DD3" w:rsidRPr="002153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fewer than 55 months, </w:t>
      </w:r>
      <w:r w:rsidR="00C86DD3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average monthly charges are </w:t>
      </w:r>
      <w:r w:rsidR="00C86DD3" w:rsidRPr="00215399">
        <w:rPr>
          <w:rFonts w:ascii="Times New Roman" w:hAnsi="Times New Roman" w:cs="Times New Roman"/>
          <w:b/>
          <w:sz w:val="24"/>
          <w:szCs w:val="24"/>
          <w:lang w:val="en-GB"/>
        </w:rPr>
        <w:t>$64.76</w:t>
      </w:r>
      <w:r w:rsidR="00C86DD3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whereas 25% of customers pay more than </w:t>
      </w:r>
      <w:r w:rsidR="00C86DD3" w:rsidRPr="00215399">
        <w:rPr>
          <w:rFonts w:ascii="Times New Roman" w:hAnsi="Times New Roman" w:cs="Times New Roman"/>
          <w:b/>
          <w:sz w:val="24"/>
          <w:szCs w:val="24"/>
          <w:lang w:val="en-GB"/>
        </w:rPr>
        <w:t>$89.85 per month</w:t>
      </w:r>
      <w:r w:rsidR="00BD789A" w:rsidRPr="002153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Also, customers with shorter contract tenure churned more than those with longer tenure. The same way customers on monthly charges payment plan churn more than those with yearly payment plan.</w:t>
      </w:r>
    </w:p>
    <w:p w:rsidR="006241C2" w:rsidRPr="00215399" w:rsidRDefault="006241C2" w:rsidP="00BD7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b/>
          <w:sz w:val="24"/>
          <w:szCs w:val="24"/>
          <w:lang w:val="en-GB"/>
        </w:rPr>
        <w:t>Insights Generation</w:t>
      </w:r>
      <w:r w:rsidR="00BD789A" w:rsidRPr="002153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Insights were generated based on our analysis and visualizations</w:t>
      </w:r>
      <w:r w:rsidR="00215399" w:rsidRPr="002153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241C2" w:rsidRPr="00215399" w:rsidRDefault="006241C2" w:rsidP="00BD7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b/>
          <w:sz w:val="24"/>
          <w:szCs w:val="24"/>
          <w:lang w:val="en-GB"/>
        </w:rPr>
        <w:t>Visualization and reporting</w:t>
      </w:r>
      <w:r w:rsidR="00BD789A" w:rsidRPr="002153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Informative charts and visualizations were used to present our findings in this project</w:t>
      </w:r>
      <w:r w:rsidR="00215399" w:rsidRPr="002153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54E3F" w:rsidRPr="00215399" w:rsidRDefault="006241C2" w:rsidP="0021539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Churn Metrics</w:t>
      </w:r>
    </w:p>
    <w:p w:rsidR="00BF7889" w:rsidRPr="00215399" w:rsidRDefault="006241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Churn rate stands at 26.5% w</w:t>
      </w:r>
      <w:r w:rsidR="00D07625" w:rsidRPr="00215399">
        <w:rPr>
          <w:rFonts w:ascii="Times New Roman" w:hAnsi="Times New Roman" w:cs="Times New Roman"/>
          <w:sz w:val="24"/>
          <w:szCs w:val="24"/>
          <w:lang w:val="en-GB"/>
        </w:rPr>
        <w:t>hile retention rate is 73.5% emphasizing the need to focus on improving customer loyalty.</w:t>
      </w:r>
    </w:p>
    <w:p w:rsidR="003214B3" w:rsidRPr="00215399" w:rsidRDefault="003214B3" w:rsidP="0021539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Key Questions covered in this project</w:t>
      </w:r>
    </w:p>
    <w:p w:rsidR="003214B3" w:rsidRPr="00215399" w:rsidRDefault="003214B3" w:rsidP="0021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What is the churn rate</w:t>
      </w:r>
      <w:r w:rsidR="001B7835" w:rsidRPr="00215399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3214B3" w:rsidRPr="00215399" w:rsidRDefault="003214B3" w:rsidP="0021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Which Customer segment has the highest churn</w:t>
      </w:r>
      <w:r w:rsidR="001B7835" w:rsidRPr="00215399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:rsidR="001B7835" w:rsidRPr="00215399" w:rsidRDefault="001B7835" w:rsidP="0021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What are the key demographic factors influencing churn?</w:t>
      </w:r>
    </w:p>
    <w:p w:rsidR="005E7156" w:rsidRPr="00215399" w:rsidRDefault="005E7156" w:rsidP="0021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What is the relationship between monthly charge and tenure?</w:t>
      </w:r>
    </w:p>
    <w:p w:rsidR="001B7835" w:rsidRPr="00215399" w:rsidRDefault="00E43870" w:rsidP="0021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Are there patterns in Tenure and churn?</w:t>
      </w:r>
    </w:p>
    <w:p w:rsidR="00BF7889" w:rsidRPr="00215399" w:rsidRDefault="00BF7889" w:rsidP="00BD789A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Analysis and Insights</w:t>
      </w:r>
    </w:p>
    <w:p w:rsidR="00BD789A" w:rsidRPr="00215399" w:rsidRDefault="00BD789A" w:rsidP="00BD789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What is the Churn Rate?</w:t>
      </w:r>
    </w:p>
    <w:p w:rsidR="00BD789A" w:rsidRPr="00215399" w:rsidRDefault="00BD789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1B7835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he churn rate is </w:t>
      </w:r>
      <w:r w:rsidR="001B7835" w:rsidRPr="00215399">
        <w:rPr>
          <w:rFonts w:ascii="Times New Roman" w:hAnsi="Times New Roman" w:cs="Times New Roman"/>
          <w:b/>
          <w:sz w:val="24"/>
          <w:szCs w:val="24"/>
          <w:lang w:val="en-GB"/>
        </w:rPr>
        <w:t>26.5%</w:t>
      </w:r>
    </w:p>
    <w:p w:rsidR="00BF7889" w:rsidRPr="00215399" w:rsidRDefault="00BD789A" w:rsidP="00BD789A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Which Customer Segment has the highest Churn?</w:t>
      </w:r>
    </w:p>
    <w:p w:rsidR="00BF7889" w:rsidRPr="00215399" w:rsidRDefault="00BF7889" w:rsidP="00BD789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78944" wp14:editId="346DF01E">
            <wp:extent cx="41148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7889" w:rsidRPr="00215399" w:rsidRDefault="00BF788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There are two types of citizens considered in this data, from the chart above, we see that </w:t>
      </w:r>
      <w:r w:rsidR="009A72D6" w:rsidRPr="00215399">
        <w:rPr>
          <w:rFonts w:ascii="Times New Roman" w:hAnsi="Times New Roman" w:cs="Times New Roman"/>
          <w:sz w:val="24"/>
          <w:szCs w:val="24"/>
          <w:lang w:val="en-GB"/>
        </w:rPr>
        <w:t>the churn rate for senior citizens was higher compared to the churn rate for not senior citizens.</w:t>
      </w:r>
    </w:p>
    <w:p w:rsidR="00BF7889" w:rsidRPr="00215399" w:rsidRDefault="00BF788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70DDBD" wp14:editId="0A718982">
            <wp:extent cx="41148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72D6" w:rsidRPr="00215399" w:rsidRDefault="009A72D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461B2" wp14:editId="3A6D5EF5">
            <wp:extent cx="41148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72D6" w:rsidRPr="00215399" w:rsidRDefault="008B38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16442A" wp14:editId="53CD9EC5">
            <wp:extent cx="41148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14B3" w:rsidRPr="00215399" w:rsidRDefault="003214B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73834" wp14:editId="6DF12B9F">
            <wp:extent cx="41148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D1D50" w:rsidRPr="00215399" w:rsidRDefault="00FD1D5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Segmenting by Cont</w:t>
      </w:r>
      <w:r w:rsidR="00123771" w:rsidRPr="00215399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act Type, payment method and Monthly Charges highlights that citizens with month-to-month contracts and monthly charges of above $</w:t>
      </w:r>
      <w:r w:rsidR="00BD789A" w:rsidRPr="00215399">
        <w:rPr>
          <w:rFonts w:ascii="Times New Roman" w:hAnsi="Times New Roman" w:cs="Times New Roman"/>
          <w:sz w:val="24"/>
          <w:szCs w:val="24"/>
          <w:lang w:val="en-GB"/>
        </w:rPr>
        <w:t>68 are most prone to churn. Tai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loring retention strategies for these segments is crucial.</w:t>
      </w:r>
    </w:p>
    <w:p w:rsidR="00FD1D50" w:rsidRPr="00215399" w:rsidRDefault="00FD1D5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D1D50" w:rsidRDefault="00FD1D5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15399" w:rsidRPr="00215399" w:rsidRDefault="0021539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D1D50" w:rsidRPr="00215399" w:rsidRDefault="00FD1D50" w:rsidP="00BD789A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Demographic Factors influencing Churn</w:t>
      </w:r>
    </w:p>
    <w:p w:rsidR="001B7835" w:rsidRPr="00215399" w:rsidRDefault="00FD1D5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3D195" wp14:editId="7D5DBE93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D1D50" w:rsidRPr="00215399" w:rsidRDefault="00FD1D5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Users with no dependents are more likely to churn than users with dependents. This insight is valuable as it can guide targeted marketing efforts</w:t>
      </w:r>
      <w:r w:rsidR="00BA7388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123771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focus more users on</w:t>
      </w:r>
      <w:r w:rsidR="00503834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dependents and tailor retention strategies for users with no dependents</w:t>
      </w:r>
      <w:r w:rsidR="00E43870" w:rsidRPr="002153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D1D50" w:rsidRPr="00215399" w:rsidRDefault="00CB40E1" w:rsidP="00BD789A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 xml:space="preserve">Patterns in </w:t>
      </w:r>
      <w:r w:rsidR="002C7D88" w:rsidRPr="00215399">
        <w:rPr>
          <w:rFonts w:ascii="Times New Roman" w:hAnsi="Times New Roman" w:cs="Times New Roman"/>
          <w:b/>
          <w:sz w:val="28"/>
          <w:szCs w:val="28"/>
          <w:lang w:val="en-GB"/>
        </w:rPr>
        <w:t>tenure</w:t>
      </w: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and Churn</w:t>
      </w:r>
    </w:p>
    <w:p w:rsidR="00CB40E1" w:rsidRPr="00215399" w:rsidRDefault="00CB40E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2A052" wp14:editId="69F31A9A">
            <wp:extent cx="41148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C7D88" w:rsidRPr="00215399" w:rsidRDefault="002C7D8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From the chart above, it can be seen that </w:t>
      </w:r>
      <w:r w:rsidR="00E43870" w:rsidRPr="00215399">
        <w:rPr>
          <w:rFonts w:ascii="Times New Roman" w:hAnsi="Times New Roman" w:cs="Times New Roman"/>
          <w:sz w:val="24"/>
          <w:szCs w:val="24"/>
          <w:lang w:val="en-GB"/>
        </w:rPr>
        <w:t>users with longer tenure are likely to churn lesser than users with shorter tenure.</w:t>
      </w:r>
    </w:p>
    <w:p w:rsidR="00BD789A" w:rsidRPr="00215399" w:rsidRDefault="00BD789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23771" w:rsidRPr="00215399" w:rsidRDefault="001077C7" w:rsidP="00BD789A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Recommendations</w:t>
      </w:r>
    </w:p>
    <w:p w:rsidR="001077C7" w:rsidRPr="00215399" w:rsidRDefault="001077C7" w:rsidP="00215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Introduce</w:t>
      </w:r>
      <w:r w:rsidR="00BD789A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loyalty programs for long term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contract subscribers</w:t>
      </w:r>
    </w:p>
    <w:p w:rsidR="001077C7" w:rsidRPr="00215399" w:rsidRDefault="001077C7" w:rsidP="00215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Implement targeted discounts for high value customers</w:t>
      </w:r>
    </w:p>
    <w:p w:rsidR="001077C7" w:rsidRPr="00215399" w:rsidRDefault="001077C7" w:rsidP="0021539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15399">
        <w:rPr>
          <w:rFonts w:ascii="Times New Roman" w:hAnsi="Times New Roman" w:cs="Times New Roman"/>
          <w:b/>
          <w:sz w:val="28"/>
          <w:szCs w:val="28"/>
          <w:lang w:val="en-GB"/>
        </w:rPr>
        <w:t>Conclusion</w:t>
      </w:r>
    </w:p>
    <w:p w:rsidR="001077C7" w:rsidRPr="004C3B4A" w:rsidRDefault="00215399">
      <w:pPr>
        <w:rPr>
          <w:lang w:val="en-GB"/>
        </w:rPr>
      </w:pPr>
      <w:r w:rsidRPr="00215399">
        <w:rPr>
          <w:rFonts w:ascii="Times New Roman" w:hAnsi="Times New Roman" w:cs="Times New Roman"/>
          <w:sz w:val="24"/>
          <w:szCs w:val="24"/>
          <w:lang w:val="en-GB"/>
        </w:rPr>
        <w:t>Addressing Churn is vital for T</w:t>
      </w:r>
      <w:r w:rsidR="001077C7" w:rsidRPr="00215399">
        <w:rPr>
          <w:rFonts w:ascii="Times New Roman" w:hAnsi="Times New Roman" w:cs="Times New Roman"/>
          <w:sz w:val="24"/>
          <w:szCs w:val="24"/>
          <w:lang w:val="en-GB"/>
        </w:rPr>
        <w:t>el</w:t>
      </w:r>
      <w:r w:rsidRPr="00215399">
        <w:rPr>
          <w:rFonts w:ascii="Times New Roman" w:hAnsi="Times New Roman" w:cs="Times New Roman"/>
          <w:sz w:val="24"/>
          <w:szCs w:val="24"/>
          <w:lang w:val="en-GB"/>
        </w:rPr>
        <w:t>ecommunication Companies</w:t>
      </w:r>
      <w:r w:rsidR="001077C7" w:rsidRPr="00215399">
        <w:rPr>
          <w:rFonts w:ascii="Times New Roman" w:hAnsi="Times New Roman" w:cs="Times New Roman"/>
          <w:sz w:val="24"/>
          <w:szCs w:val="24"/>
          <w:lang w:val="en-GB"/>
        </w:rPr>
        <w:t xml:space="preserve"> sustained growth. Strategic implementation of recommendations is poised to mitigate churn, bolstering customer retentio</w:t>
      </w:r>
      <w:r w:rsidR="001077C7">
        <w:rPr>
          <w:lang w:val="en-GB"/>
        </w:rPr>
        <w:t xml:space="preserve">n </w:t>
      </w:r>
      <w:r w:rsidR="001077C7" w:rsidRPr="00215399">
        <w:rPr>
          <w:rFonts w:ascii="Times New Roman" w:hAnsi="Times New Roman" w:cs="Times New Roman"/>
          <w:sz w:val="24"/>
          <w:szCs w:val="24"/>
          <w:lang w:val="en-GB"/>
        </w:rPr>
        <w:t>and profitability.</w:t>
      </w:r>
      <w:r w:rsidR="001077C7">
        <w:rPr>
          <w:lang w:val="en-GB"/>
        </w:rPr>
        <w:t xml:space="preserve"> </w:t>
      </w:r>
      <w:bookmarkStart w:id="0" w:name="_GoBack"/>
      <w:bookmarkEnd w:id="0"/>
    </w:p>
    <w:sectPr w:rsidR="001077C7" w:rsidRPr="004C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34890"/>
    <w:multiLevelType w:val="hybridMultilevel"/>
    <w:tmpl w:val="1D5C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1363B"/>
    <w:multiLevelType w:val="hybridMultilevel"/>
    <w:tmpl w:val="C846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B1C33"/>
    <w:multiLevelType w:val="hybridMultilevel"/>
    <w:tmpl w:val="07C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4A"/>
    <w:rsid w:val="001077C7"/>
    <w:rsid w:val="00123771"/>
    <w:rsid w:val="001B7835"/>
    <w:rsid w:val="00215399"/>
    <w:rsid w:val="002C7D88"/>
    <w:rsid w:val="003214B3"/>
    <w:rsid w:val="00354E3F"/>
    <w:rsid w:val="004C3B4A"/>
    <w:rsid w:val="00503834"/>
    <w:rsid w:val="005E7156"/>
    <w:rsid w:val="006241C2"/>
    <w:rsid w:val="007C43CC"/>
    <w:rsid w:val="008B38D4"/>
    <w:rsid w:val="009212F0"/>
    <w:rsid w:val="009A72D6"/>
    <w:rsid w:val="00BA5BBD"/>
    <w:rsid w:val="00BA7388"/>
    <w:rsid w:val="00BD789A"/>
    <w:rsid w:val="00BF7889"/>
    <w:rsid w:val="00C86DD3"/>
    <w:rsid w:val="00C9082E"/>
    <w:rsid w:val="00CB40E1"/>
    <w:rsid w:val="00D07625"/>
    <w:rsid w:val="00E43870"/>
    <w:rsid w:val="00F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73CC-2834-480F-B411-D6692E3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stomer%20Churn%20Analysis\Customer-Churn-Analysis\Telco-Customer-Churn(32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stomer%20Churn%20Analysis\Customer-Churn-Analysis\Telco-Customer-Churn(32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stomer%20Churn%20Analysis\Customer-Churn-Analysis\Telco-Customer-Churn(32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stomer%20Churn%20Analysis\Customer-Churn-Analysis\Telco-Customer-Churn(32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stomer%20Churn%20Analysis\Customer-Churn-Analysis\Telco-Customer-Churn(323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stomer%20Churn%20Analysis\Customer-Churn-Analysis\Telco-Customer-Churn(323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stomer%20Churn%20Analysis\Customer-Churn-Analysis\Telco-Customer-Churn(323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/>
              <a:t>Churn</a:t>
            </a:r>
            <a:r>
              <a:rPr lang="en-US" sz="1100" b="1" baseline="0"/>
              <a:t> Rate by Senior Citizens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6111111111111108E-2"/>
          <c:y val="0.16712962962962963"/>
          <c:w val="0.93888888888888888"/>
          <c:h val="0.6294929279673374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Pivot!$E$10</c:f>
              <c:strCache>
                <c:ptCount val="1"/>
                <c:pt idx="0">
                  <c:v>Churned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Pivot!$D$11:$D$12</c:f>
              <c:strCache>
                <c:ptCount val="2"/>
                <c:pt idx="0">
                  <c:v>Not Senior Citizens</c:v>
                </c:pt>
                <c:pt idx="1">
                  <c:v>Senior Citizens</c:v>
                </c:pt>
              </c:strCache>
            </c:strRef>
          </c:cat>
          <c:val>
            <c:numRef>
              <c:f>Pivot!$E$11:$E$12</c:f>
              <c:numCache>
                <c:formatCode>0.00%</c:formatCode>
                <c:ptCount val="2"/>
                <c:pt idx="0">
                  <c:v>0.23606168446026096</c:v>
                </c:pt>
                <c:pt idx="1">
                  <c:v>0.41681260945709281</c:v>
                </c:pt>
              </c:numCache>
            </c:numRef>
          </c:val>
        </c:ser>
        <c:ser>
          <c:idx val="1"/>
          <c:order val="1"/>
          <c:tx>
            <c:strRef>
              <c:f>Pivot!$F$10</c:f>
              <c:strCache>
                <c:ptCount val="1"/>
                <c:pt idx="0">
                  <c:v>Active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Pivot!$D$11:$D$12</c:f>
              <c:strCache>
                <c:ptCount val="2"/>
                <c:pt idx="0">
                  <c:v>Not Senior Citizens</c:v>
                </c:pt>
                <c:pt idx="1">
                  <c:v>Senior Citizens</c:v>
                </c:pt>
              </c:strCache>
            </c:strRef>
          </c:cat>
          <c:val>
            <c:numRef>
              <c:f>Pivot!$F$11:$F$12</c:f>
              <c:numCache>
                <c:formatCode>0.00%</c:formatCode>
                <c:ptCount val="2"/>
                <c:pt idx="0">
                  <c:v>0.76393831553973901</c:v>
                </c:pt>
                <c:pt idx="1">
                  <c:v>0.58318739054290714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99141344"/>
        <c:axId val="199150592"/>
      </c:barChart>
      <c:catAx>
        <c:axId val="199141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50592"/>
        <c:crosses val="autoZero"/>
        <c:auto val="1"/>
        <c:lblAlgn val="ctr"/>
        <c:lblOffset val="100"/>
        <c:noMultiLvlLbl val="0"/>
      </c:catAx>
      <c:valAx>
        <c:axId val="199150592"/>
        <c:scaling>
          <c:orientation val="minMax"/>
        </c:scaling>
        <c:delete val="1"/>
        <c:axPos val="l"/>
        <c:numFmt formatCode="0.00%" sourceLinked="1"/>
        <c:majorTickMark val="none"/>
        <c:minorTickMark val="none"/>
        <c:tickLblPos val="nextTo"/>
        <c:crossAx val="19914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Churn</a:t>
            </a:r>
            <a:r>
              <a:rPr lang="en-US" sz="1100" baseline="0"/>
              <a:t> Rate by Monthly Charge Group</a:t>
            </a:r>
            <a:endParaRPr lang="en-US" sz="1100"/>
          </a:p>
        </c:rich>
      </c:tx>
      <c:layout>
        <c:manualLayout>
          <c:xMode val="edge"/>
          <c:yMode val="edge"/>
          <c:x val="0.21149904840094039"/>
          <c:y val="4.274351166595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Pivot!$B$21</c:f>
              <c:strCache>
                <c:ptCount val="1"/>
                <c:pt idx="0">
                  <c:v>Sum of Churn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Pivot!$A$22:$A$25</c:f>
              <c:strCache>
                <c:ptCount val="4"/>
                <c:pt idx="0">
                  <c:v>$0-$28</c:v>
                </c:pt>
                <c:pt idx="1">
                  <c:v>$28-$43</c:v>
                </c:pt>
                <c:pt idx="2">
                  <c:v>$43-$68</c:v>
                </c:pt>
                <c:pt idx="3">
                  <c:v>$68+</c:v>
                </c:pt>
              </c:strCache>
            </c:strRef>
          </c:cat>
          <c:val>
            <c:numRef>
              <c:f>Pivot!$B$22:$B$25</c:f>
              <c:numCache>
                <c:formatCode>0.00%</c:formatCode>
                <c:ptCount val="4"/>
                <c:pt idx="0">
                  <c:v>9.2154420921544203E-2</c:v>
                </c:pt>
                <c:pt idx="1">
                  <c:v>0.28819444444444442</c:v>
                </c:pt>
                <c:pt idx="2">
                  <c:v>0.21710526315789475</c:v>
                </c:pt>
                <c:pt idx="3">
                  <c:v>0.3546680772282465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9139712"/>
        <c:axId val="199150048"/>
      </c:barChart>
      <c:catAx>
        <c:axId val="199139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50048"/>
        <c:crosses val="autoZero"/>
        <c:auto val="1"/>
        <c:lblAlgn val="ctr"/>
        <c:lblOffset val="100"/>
        <c:noMultiLvlLbl val="0"/>
      </c:catAx>
      <c:valAx>
        <c:axId val="199150048"/>
        <c:scaling>
          <c:orientation val="minMax"/>
        </c:scaling>
        <c:delete val="1"/>
        <c:axPos val="l"/>
        <c:numFmt formatCode="0.00%" sourceLinked="1"/>
        <c:majorTickMark val="out"/>
        <c:minorTickMark val="none"/>
        <c:tickLblPos val="nextTo"/>
        <c:crossAx val="19913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[Telco-Customer-Churn(323).xlsx]Pivot!PivotTable8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Churn</a:t>
            </a:r>
            <a:r>
              <a:rPr lang="en-US" sz="1100" baseline="0"/>
              <a:t> Count by Contract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Pivot!$B$15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Pivot!$A$16:$A$18</c:f>
              <c:strCache>
                <c:ptCount val="3"/>
                <c:pt idx="0">
                  <c:v>Month-to-month</c:v>
                </c:pt>
                <c:pt idx="1">
                  <c:v>One year</c:v>
                </c:pt>
                <c:pt idx="2">
                  <c:v>Two year</c:v>
                </c:pt>
              </c:strCache>
            </c:strRef>
          </c:cat>
          <c:val>
            <c:numRef>
              <c:f>Pivot!$B$16:$B$18</c:f>
              <c:numCache>
                <c:formatCode>General</c:formatCode>
                <c:ptCount val="3"/>
                <c:pt idx="0">
                  <c:v>3875</c:v>
                </c:pt>
                <c:pt idx="1">
                  <c:v>1473</c:v>
                </c:pt>
                <c:pt idx="2">
                  <c:v>1695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99148416"/>
        <c:axId val="199148960"/>
      </c:barChart>
      <c:catAx>
        <c:axId val="199148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48960"/>
        <c:crosses val="autoZero"/>
        <c:auto val="1"/>
        <c:lblAlgn val="ctr"/>
        <c:lblOffset val="100"/>
        <c:noMultiLvlLbl val="0"/>
      </c:catAx>
      <c:valAx>
        <c:axId val="19914896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9914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Churn Rate by Internet Service Type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3950617283950615E-2"/>
          <c:y val="0.23968253968253969"/>
          <c:w val="0.9320987654320988"/>
          <c:h val="0.62559711286089237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Pivot!$E$1</c:f>
              <c:strCache>
                <c:ptCount val="1"/>
                <c:pt idx="0">
                  <c:v>DSL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Pivot!$D$2:$D$3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Pivot!$E$2:$E$3</c:f>
              <c:numCache>
                <c:formatCode>0.00%</c:formatCode>
                <c:ptCount val="2"/>
                <c:pt idx="0">
                  <c:v>0.37920371086200233</c:v>
                </c:pt>
                <c:pt idx="1">
                  <c:v>0.24558587479935795</c:v>
                </c:pt>
              </c:numCache>
            </c:numRef>
          </c:val>
        </c:ser>
        <c:ser>
          <c:idx val="1"/>
          <c:order val="1"/>
          <c:tx>
            <c:strRef>
              <c:f>Pivot!$F$1</c:f>
              <c:strCache>
                <c:ptCount val="1"/>
                <c:pt idx="0">
                  <c:v>Fiber optic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Pivot!$D$2:$D$3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Pivot!$F$2:$F$3</c:f>
              <c:numCache>
                <c:formatCode>0.00%</c:formatCode>
                <c:ptCount val="2"/>
                <c:pt idx="0">
                  <c:v>0.34770003865481253</c:v>
                </c:pt>
                <c:pt idx="1">
                  <c:v>0.69395398608881753</c:v>
                </c:pt>
              </c:numCache>
            </c:numRef>
          </c:val>
        </c:ser>
        <c:ser>
          <c:idx val="2"/>
          <c:order val="2"/>
          <c:tx>
            <c:strRef>
              <c:f>Pivot!$G$1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Pivot!$D$2:$D$3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Pivot!$G$2:$G$3</c:f>
              <c:numCache>
                <c:formatCode>0.00%</c:formatCode>
                <c:ptCount val="2"/>
                <c:pt idx="0">
                  <c:v>0.27309625048318514</c:v>
                </c:pt>
                <c:pt idx="1">
                  <c:v>6.0460139111824504E-2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99151680"/>
        <c:axId val="199147328"/>
      </c:barChart>
      <c:catAx>
        <c:axId val="199151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47328"/>
        <c:crosses val="autoZero"/>
        <c:auto val="1"/>
        <c:lblAlgn val="ctr"/>
        <c:lblOffset val="100"/>
        <c:noMultiLvlLbl val="0"/>
      </c:catAx>
      <c:valAx>
        <c:axId val="199147328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19915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Churn Rate by Payment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Pivot!$B$28</c:f>
              <c:strCache>
                <c:ptCount val="1"/>
                <c:pt idx="0">
                  <c:v>Sum of Churn Rate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Pivot!$A$29:$A$32</c:f>
              <c:strCache>
                <c:ptCount val="4"/>
                <c:pt idx="0">
                  <c:v>Bank transfer (automatic)</c:v>
                </c:pt>
                <c:pt idx="1">
                  <c:v>Credit card (automatic)</c:v>
                </c:pt>
                <c:pt idx="2">
                  <c:v>Electronic check</c:v>
                </c:pt>
                <c:pt idx="3">
                  <c:v>Mailed check</c:v>
                </c:pt>
              </c:strCache>
            </c:strRef>
          </c:cat>
          <c:val>
            <c:numRef>
              <c:f>Pivot!$B$29:$B$32</c:f>
              <c:numCache>
                <c:formatCode>General</c:formatCode>
                <c:ptCount val="4"/>
                <c:pt idx="0">
                  <c:v>0.16709844559585493</c:v>
                </c:pt>
                <c:pt idx="1">
                  <c:v>0.15243101182654403</c:v>
                </c:pt>
                <c:pt idx="2">
                  <c:v>0.45285412262156449</c:v>
                </c:pt>
                <c:pt idx="3">
                  <c:v>0.19106699751861042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[Telco-Customer-Churn(323).xlsx]Sheet3!PivotTable11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Churn by Dependents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Sheet3!$A$4:$A$5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Sheet3!$B$4:$B$5</c:f>
              <c:numCache>
                <c:formatCode>General</c:formatCode>
                <c:ptCount val="2"/>
                <c:pt idx="0">
                  <c:v>4933</c:v>
                </c:pt>
                <c:pt idx="1">
                  <c:v>2110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9144608"/>
        <c:axId val="199145696"/>
      </c:barChart>
      <c:catAx>
        <c:axId val="199144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45696"/>
        <c:crosses val="autoZero"/>
        <c:auto val="1"/>
        <c:lblAlgn val="ctr"/>
        <c:lblOffset val="100"/>
        <c:noMultiLvlLbl val="0"/>
      </c:catAx>
      <c:valAx>
        <c:axId val="19914569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9914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[Telco-Customer-Churn(323).xlsx]Sheet1!PivotTable2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Count of Subscribers by Tenure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Sheet1!$A$5:$A$78</c:f>
              <c:strCache>
                <c:ptCount val="7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</c:strCache>
            </c:strRef>
          </c:cat>
          <c:val>
            <c:numRef>
              <c:f>Sheet1!$B$5:$B$78</c:f>
              <c:numCache>
                <c:formatCode>General</c:formatCode>
                <c:ptCount val="73"/>
                <c:pt idx="0">
                  <c:v>11</c:v>
                </c:pt>
                <c:pt idx="1">
                  <c:v>233</c:v>
                </c:pt>
                <c:pt idx="2">
                  <c:v>115</c:v>
                </c:pt>
                <c:pt idx="3">
                  <c:v>106</c:v>
                </c:pt>
                <c:pt idx="4">
                  <c:v>93</c:v>
                </c:pt>
                <c:pt idx="5">
                  <c:v>69</c:v>
                </c:pt>
                <c:pt idx="6">
                  <c:v>70</c:v>
                </c:pt>
                <c:pt idx="7">
                  <c:v>80</c:v>
                </c:pt>
                <c:pt idx="8">
                  <c:v>81</c:v>
                </c:pt>
                <c:pt idx="9">
                  <c:v>73</c:v>
                </c:pt>
                <c:pt idx="10">
                  <c:v>71</c:v>
                </c:pt>
                <c:pt idx="11">
                  <c:v>68</c:v>
                </c:pt>
                <c:pt idx="12">
                  <c:v>79</c:v>
                </c:pt>
                <c:pt idx="13">
                  <c:v>71</c:v>
                </c:pt>
                <c:pt idx="14">
                  <c:v>52</c:v>
                </c:pt>
                <c:pt idx="15">
                  <c:v>62</c:v>
                </c:pt>
                <c:pt idx="16">
                  <c:v>52</c:v>
                </c:pt>
                <c:pt idx="17">
                  <c:v>61</c:v>
                </c:pt>
                <c:pt idx="18">
                  <c:v>73</c:v>
                </c:pt>
                <c:pt idx="19">
                  <c:v>54</c:v>
                </c:pt>
                <c:pt idx="20">
                  <c:v>53</c:v>
                </c:pt>
                <c:pt idx="21">
                  <c:v>46</c:v>
                </c:pt>
                <c:pt idx="22">
                  <c:v>63</c:v>
                </c:pt>
                <c:pt idx="23">
                  <c:v>72</c:v>
                </c:pt>
                <c:pt idx="24">
                  <c:v>71</c:v>
                </c:pt>
                <c:pt idx="25">
                  <c:v>56</c:v>
                </c:pt>
                <c:pt idx="26">
                  <c:v>64</c:v>
                </c:pt>
                <c:pt idx="27">
                  <c:v>59</c:v>
                </c:pt>
                <c:pt idx="28">
                  <c:v>45</c:v>
                </c:pt>
                <c:pt idx="29">
                  <c:v>57</c:v>
                </c:pt>
                <c:pt idx="30">
                  <c:v>56</c:v>
                </c:pt>
                <c:pt idx="31">
                  <c:v>49</c:v>
                </c:pt>
                <c:pt idx="32">
                  <c:v>50</c:v>
                </c:pt>
                <c:pt idx="33">
                  <c:v>50</c:v>
                </c:pt>
                <c:pt idx="34">
                  <c:v>53</c:v>
                </c:pt>
                <c:pt idx="35">
                  <c:v>73</c:v>
                </c:pt>
                <c:pt idx="36">
                  <c:v>40</c:v>
                </c:pt>
                <c:pt idx="37">
                  <c:v>50</c:v>
                </c:pt>
                <c:pt idx="38">
                  <c:v>46</c:v>
                </c:pt>
                <c:pt idx="39">
                  <c:v>42</c:v>
                </c:pt>
                <c:pt idx="40">
                  <c:v>51</c:v>
                </c:pt>
                <c:pt idx="41">
                  <c:v>56</c:v>
                </c:pt>
                <c:pt idx="42">
                  <c:v>51</c:v>
                </c:pt>
                <c:pt idx="43">
                  <c:v>50</c:v>
                </c:pt>
                <c:pt idx="44">
                  <c:v>45</c:v>
                </c:pt>
                <c:pt idx="45">
                  <c:v>55</c:v>
                </c:pt>
                <c:pt idx="46">
                  <c:v>62</c:v>
                </c:pt>
                <c:pt idx="47">
                  <c:v>54</c:v>
                </c:pt>
                <c:pt idx="48">
                  <c:v>55</c:v>
                </c:pt>
                <c:pt idx="49">
                  <c:v>51</c:v>
                </c:pt>
                <c:pt idx="50">
                  <c:v>58</c:v>
                </c:pt>
                <c:pt idx="51">
                  <c:v>60</c:v>
                </c:pt>
                <c:pt idx="52">
                  <c:v>72</c:v>
                </c:pt>
                <c:pt idx="53">
                  <c:v>56</c:v>
                </c:pt>
                <c:pt idx="54">
                  <c:v>55</c:v>
                </c:pt>
                <c:pt idx="55">
                  <c:v>55</c:v>
                </c:pt>
                <c:pt idx="56">
                  <c:v>70</c:v>
                </c:pt>
                <c:pt idx="57">
                  <c:v>57</c:v>
                </c:pt>
                <c:pt idx="58">
                  <c:v>56</c:v>
                </c:pt>
                <c:pt idx="59">
                  <c:v>52</c:v>
                </c:pt>
                <c:pt idx="60">
                  <c:v>70</c:v>
                </c:pt>
                <c:pt idx="61">
                  <c:v>68</c:v>
                </c:pt>
                <c:pt idx="62">
                  <c:v>65</c:v>
                </c:pt>
                <c:pt idx="63">
                  <c:v>68</c:v>
                </c:pt>
                <c:pt idx="64">
                  <c:v>76</c:v>
                </c:pt>
                <c:pt idx="65">
                  <c:v>67</c:v>
                </c:pt>
                <c:pt idx="66">
                  <c:v>76</c:v>
                </c:pt>
                <c:pt idx="67">
                  <c:v>88</c:v>
                </c:pt>
                <c:pt idx="68">
                  <c:v>91</c:v>
                </c:pt>
                <c:pt idx="69">
                  <c:v>87</c:v>
                </c:pt>
                <c:pt idx="70">
                  <c:v>108</c:v>
                </c:pt>
                <c:pt idx="71">
                  <c:v>164</c:v>
                </c:pt>
                <c:pt idx="72">
                  <c:v>356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Yes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Sheet1!$A$5:$A$78</c:f>
              <c:strCache>
                <c:ptCount val="7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</c:strCache>
            </c:strRef>
          </c:cat>
          <c:val>
            <c:numRef>
              <c:f>Sheet1!$C$5:$C$78</c:f>
              <c:numCache>
                <c:formatCode>General</c:formatCode>
                <c:ptCount val="73"/>
                <c:pt idx="1">
                  <c:v>380</c:v>
                </c:pt>
                <c:pt idx="2">
                  <c:v>123</c:v>
                </c:pt>
                <c:pt idx="3">
                  <c:v>94</c:v>
                </c:pt>
                <c:pt idx="4">
                  <c:v>83</c:v>
                </c:pt>
                <c:pt idx="5">
                  <c:v>64</c:v>
                </c:pt>
                <c:pt idx="6">
                  <c:v>40</c:v>
                </c:pt>
                <c:pt idx="7">
                  <c:v>51</c:v>
                </c:pt>
                <c:pt idx="8">
                  <c:v>42</c:v>
                </c:pt>
                <c:pt idx="9">
                  <c:v>46</c:v>
                </c:pt>
                <c:pt idx="10">
                  <c:v>45</c:v>
                </c:pt>
                <c:pt idx="11">
                  <c:v>31</c:v>
                </c:pt>
                <c:pt idx="12">
                  <c:v>38</c:v>
                </c:pt>
                <c:pt idx="13">
                  <c:v>38</c:v>
                </c:pt>
                <c:pt idx="14">
                  <c:v>24</c:v>
                </c:pt>
                <c:pt idx="15">
                  <c:v>37</c:v>
                </c:pt>
                <c:pt idx="16">
                  <c:v>28</c:v>
                </c:pt>
                <c:pt idx="17">
                  <c:v>26</c:v>
                </c:pt>
                <c:pt idx="18">
                  <c:v>24</c:v>
                </c:pt>
                <c:pt idx="19">
                  <c:v>19</c:v>
                </c:pt>
                <c:pt idx="20">
                  <c:v>18</c:v>
                </c:pt>
                <c:pt idx="21">
                  <c:v>17</c:v>
                </c:pt>
                <c:pt idx="22">
                  <c:v>27</c:v>
                </c:pt>
                <c:pt idx="23">
                  <c:v>13</c:v>
                </c:pt>
                <c:pt idx="24">
                  <c:v>23</c:v>
                </c:pt>
                <c:pt idx="25">
                  <c:v>23</c:v>
                </c:pt>
                <c:pt idx="26">
                  <c:v>15</c:v>
                </c:pt>
                <c:pt idx="27">
                  <c:v>13</c:v>
                </c:pt>
                <c:pt idx="28">
                  <c:v>12</c:v>
                </c:pt>
                <c:pt idx="29">
                  <c:v>15</c:v>
                </c:pt>
                <c:pt idx="30">
                  <c:v>16</c:v>
                </c:pt>
                <c:pt idx="31">
                  <c:v>16</c:v>
                </c:pt>
                <c:pt idx="32">
                  <c:v>19</c:v>
                </c:pt>
                <c:pt idx="33">
                  <c:v>14</c:v>
                </c:pt>
                <c:pt idx="34">
                  <c:v>12</c:v>
                </c:pt>
                <c:pt idx="35">
                  <c:v>15</c:v>
                </c:pt>
                <c:pt idx="36">
                  <c:v>10</c:v>
                </c:pt>
                <c:pt idx="37">
                  <c:v>15</c:v>
                </c:pt>
                <c:pt idx="38">
                  <c:v>13</c:v>
                </c:pt>
                <c:pt idx="39">
                  <c:v>14</c:v>
                </c:pt>
                <c:pt idx="40">
                  <c:v>13</c:v>
                </c:pt>
                <c:pt idx="41">
                  <c:v>14</c:v>
                </c:pt>
                <c:pt idx="42">
                  <c:v>14</c:v>
                </c:pt>
                <c:pt idx="43">
                  <c:v>15</c:v>
                </c:pt>
                <c:pt idx="44">
                  <c:v>6</c:v>
                </c:pt>
                <c:pt idx="45">
                  <c:v>6</c:v>
                </c:pt>
                <c:pt idx="46">
                  <c:v>12</c:v>
                </c:pt>
                <c:pt idx="47">
                  <c:v>14</c:v>
                </c:pt>
                <c:pt idx="48">
                  <c:v>9</c:v>
                </c:pt>
                <c:pt idx="49">
                  <c:v>15</c:v>
                </c:pt>
                <c:pt idx="50">
                  <c:v>10</c:v>
                </c:pt>
                <c:pt idx="51">
                  <c:v>8</c:v>
                </c:pt>
                <c:pt idx="52">
                  <c:v>8</c:v>
                </c:pt>
                <c:pt idx="53">
                  <c:v>14</c:v>
                </c:pt>
                <c:pt idx="54">
                  <c:v>13</c:v>
                </c:pt>
                <c:pt idx="55">
                  <c:v>9</c:v>
                </c:pt>
                <c:pt idx="56">
                  <c:v>10</c:v>
                </c:pt>
                <c:pt idx="57">
                  <c:v>8</c:v>
                </c:pt>
                <c:pt idx="58">
                  <c:v>11</c:v>
                </c:pt>
                <c:pt idx="59">
                  <c:v>8</c:v>
                </c:pt>
                <c:pt idx="60">
                  <c:v>6</c:v>
                </c:pt>
                <c:pt idx="61">
                  <c:v>8</c:v>
                </c:pt>
                <c:pt idx="62">
                  <c:v>5</c:v>
                </c:pt>
                <c:pt idx="63">
                  <c:v>4</c:v>
                </c:pt>
                <c:pt idx="64">
                  <c:v>4</c:v>
                </c:pt>
                <c:pt idx="65">
                  <c:v>9</c:v>
                </c:pt>
                <c:pt idx="66">
                  <c:v>13</c:v>
                </c:pt>
                <c:pt idx="67">
                  <c:v>10</c:v>
                </c:pt>
                <c:pt idx="68">
                  <c:v>9</c:v>
                </c:pt>
                <c:pt idx="69">
                  <c:v>8</c:v>
                </c:pt>
                <c:pt idx="70">
                  <c:v>11</c:v>
                </c:pt>
                <c:pt idx="71">
                  <c:v>6</c:v>
                </c:pt>
                <c:pt idx="72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40288"/>
        <c:axId val="49053888"/>
      </c:lineChart>
      <c:catAx>
        <c:axId val="4904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53888"/>
        <c:crosses val="autoZero"/>
        <c:auto val="1"/>
        <c:lblAlgn val="ctr"/>
        <c:lblOffset val="100"/>
        <c:noMultiLvlLbl val="0"/>
      </c:catAx>
      <c:valAx>
        <c:axId val="49053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4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3245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2023-11-21T09:50:00Z</dcterms:created>
  <dcterms:modified xsi:type="dcterms:W3CDTF">2023-11-23T15:55:00Z</dcterms:modified>
</cp:coreProperties>
</file>