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Морозов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SELinux права доступа определяются самой системой при помощи специально определённых политик. Политики работают на уровне системных вызовов и применяются самим ядром (но можно реализовать и на уровне приложения).</w:t>
      </w:r>
      <w:r>
        <w:t xml:space="preserve"> </w:t>
      </w:r>
      <w:r>
        <w:t xml:space="preserve">SELinux действует после классической модели безопасности Linux: через SELinux нельзя разрешить то, что запрещено через права доступа пользователей или групп. Политики описываются при помощи специального гибкого языка описания правил доступа.</w:t>
      </w:r>
      <w:r>
        <w:t xml:space="preserve"> </w:t>
      </w:r>
      <w:r>
        <w:t xml:space="preserve">В большинстве случаев правила SELinux «прозрачны» для приложений, и не требуется никакой их модификации.</w:t>
      </w:r>
      <w:r>
        <w:t xml:space="preserve"> </w:t>
      </w:r>
      <w:r>
        <w:t xml:space="preserve">В состав некоторых дистрибутивов входят готовые политики, в которых права могут определяться на основе совпадения типов процесса (субъекта) и файла (объекта) — это основной механизм SELinux.</w:t>
      </w:r>
      <w:r>
        <w:t xml:space="preserve"> </w:t>
      </w:r>
      <w:r>
        <w:t xml:space="preserve">Две других формы контроля доступа — доступ на основе ролей и на основе многоуровневой системы безопасности.</w:t>
      </w:r>
      <w:r>
        <w:t xml:space="preserve"> </w:t>
      </w:r>
      <w:r>
        <w:t xml:space="preserve">[1]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Убедимся, что SELinux работает в режиме enforcing политики targeted.</w:t>
      </w:r>
      <w:r>
        <w:t xml:space="preserve"> </w:t>
      </w:r>
      <w:r>
        <w:t xml:space="preserve">Обратимся к веб-серверу и убедимся, что он работает.</w:t>
      </w:r>
      <w:r>
        <w:t xml:space="preserve"> </w:t>
      </w:r>
      <w:r>
        <w:t xml:space="preserve">Найдем apache в списке процессов.</w:t>
      </w:r>
      <w:r>
        <w:t xml:space="preserve"> </w:t>
      </w:r>
      <w:r>
        <w:t xml:space="preserve">Посмотрим статистику по политике.</w:t>
      </w:r>
      <w:r>
        <w:t xml:space="preserve"> </w:t>
      </w:r>
      <w:r>
        <w:t xml:space="preserve">Определим тип файлов и директорий в /var/www.</w:t>
      </w:r>
      <w:r>
        <w:t xml:space="preserve"> </w:t>
      </w:r>
      <w:r>
        <w:t xml:space="preserve">Посмотрим список пользователей.</w:t>
      </w:r>
      <w:r>
        <w:t xml:space="preserve"> </w:t>
      </w:r>
      <w:r>
        <w:t xml:space="preserve">Создадим от имени root файл в /var/www/html.</w:t>
      </w:r>
      <w:r>
        <w:t xml:space="preserve"> </w:t>
      </w:r>
      <w:r>
        <w:t xml:space="preserve">Попробуем посмотреть файл в браузере.</w:t>
      </w:r>
      <w:r>
        <w:t xml:space="preserve"> </w:t>
      </w:r>
      <w:r>
        <w:t xml:space="preserve">Изменим контекст файла.</w:t>
      </w:r>
      <w:r>
        <w:t xml:space="preserve"> </w:t>
      </w:r>
      <w:r>
        <w:t xml:space="preserve">Добавим на прослушивание порт 81.</w:t>
      </w:r>
      <w:r>
        <w:t xml:space="preserve"> </w:t>
      </w:r>
      <w:r>
        <w:t xml:space="preserve">Вернем все как было.</w:t>
      </w:r>
    </w:p>
    <w:p>
      <w:pPr>
        <w:pStyle w:val="BodyText"/>
      </w:pPr>
      <w:r>
        <w:t xml:space="preserve">Результаты работы команд</w:t>
      </w:r>
      <w:r>
        <w:t xml:space="preserve"> </w:t>
      </w:r>
      <w:r>
        <w:t xml:space="preserve">1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</w:t>
      </w:r>
      <w:r>
        <w:t xml:space="preserve"> </w:t>
      </w:r>
      <w:bookmarkStart w:id="25" w:name="fig:007"/>
      <w:r>
        <w:drawing>
          <wp:inline>
            <wp:extent cx="3733800" cy="2333625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2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</w:t>
      </w:r>
      <w:r>
        <w:t xml:space="preserve"> </w:t>
      </w:r>
      <w:bookmarkStart w:id="29" w:name="fig:002"/>
      <w:r>
        <w:drawing>
          <wp:inline>
            <wp:extent cx="3733800" cy="2333625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3 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)</w:t>
      </w:r>
      <w:r>
        <w:t xml:space="preserve"> </w:t>
      </w:r>
      <w:bookmarkStart w:id="33" w:name="fig:003"/>
      <w:r>
        <w:drawing>
          <wp:inline>
            <wp:extent cx="3733800" cy="2333625"/>
            <wp:effectExtent b="0" l="0" r="0" t="0"/>
            <wp:docPr descr="3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4 (рис.</w:t>
      </w:r>
      <w:r>
        <w:t xml:space="preserve"> </w:t>
      </w:r>
      <w:r>
        <w:rPr>
          <w:b/>
          <w:bCs/>
        </w:rPr>
        <w:t xml:space="preserve">¿fig:004?</w:t>
      </w:r>
      <w:r>
        <w:t xml:space="preserve">)</w:t>
      </w:r>
      <w:r>
        <w:t xml:space="preserve"> </w:t>
      </w:r>
      <w:bookmarkStart w:id="37" w:name="fig:004"/>
      <w:r>
        <w:drawing>
          <wp:inline>
            <wp:extent cx="3733800" cy="2333625"/>
            <wp:effectExtent b="0" l="0" r="0" t="0"/>
            <wp:docPr descr="4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5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</w:t>
      </w:r>
      <w:r>
        <w:t xml:space="preserve"> </w:t>
      </w:r>
      <w:bookmarkStart w:id="41" w:name="fig:005"/>
      <w:r>
        <w:drawing>
          <wp:inline>
            <wp:extent cx="3733800" cy="2333625"/>
            <wp:effectExtent b="0" l="0" r="0" t="0"/>
            <wp:docPr descr="5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6 (рис.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)</w:t>
      </w:r>
      <w:r>
        <w:t xml:space="preserve"> </w:t>
      </w:r>
      <w:bookmarkStart w:id="45" w:name="fig:006"/>
      <w:r>
        <w:drawing>
          <wp:inline>
            <wp:extent cx="3733800" cy="2333625"/>
            <wp:effectExtent b="0" l="0" r="0" t="0"/>
            <wp:docPr descr="6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Развили навыки администрирования ОС Linux. Получили первое практическое знакомство с технологией SELinux1. Проверили работу SELinx на практике совместно с веб-сервером Apache.</w:t>
      </w:r>
    </w:p>
    <w:bookmarkEnd w:id="47"/>
    <w:bookmarkStart w:id="51" w:name="список-литературы"/>
    <w:p>
      <w:pPr>
        <w:pStyle w:val="Heading1"/>
      </w:pPr>
      <w:r>
        <w:t xml:space="preserve">Список литературы</w:t>
      </w:r>
    </w:p>
    <w:bookmarkStart w:id="50" w:name="refs"/>
    <w:bookmarkStart w:id="49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Sticky bit</w:t>
      </w:r>
      <w:r>
        <w:t xml:space="preserve"> </w:t>
      </w:r>
      <w:r>
        <w:t xml:space="preserve">[Электронный ресурс]. Wikimedia Foundation, 2024. URL:</w:t>
      </w:r>
      <w:r>
        <w:t xml:space="preserve"> </w:t>
      </w:r>
      <w:hyperlink r:id="rId48">
        <w:r>
          <w:rPr>
            <w:rStyle w:val="Hyperlink"/>
          </w:rPr>
          <w:t xml:space="preserve">https://ru.wikipedia.org/wiki/Sticky_bit</w:t>
        </w:r>
      </w:hyperlink>
      <w:r>
        <w:t xml:space="preserve">.</w:t>
      </w:r>
    </w:p>
    <w:bookmarkEnd w:id="49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hyperlink" Id="rId48" Target="https://ru.wikipedia.org/wiki/Sticky_b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s://ru.wikipedia.org/wiki/Sticky_b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Морозов Михаил Евгеньевич</dc:creator>
  <dc:language>ru-RU</dc:language>
  <cp:keywords/>
  <dcterms:created xsi:type="dcterms:W3CDTF">2024-10-12T18:22:12Z</dcterms:created>
  <dcterms:modified xsi:type="dcterms:W3CDTF">2024-10-12T18:22:12Z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Мандатное разграничение прав в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