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4AC0FA" w14:textId="77777777" w:rsidR="000724BB" w:rsidRDefault="000724BB" w:rsidP="000724BB">
      <w:pPr>
        <w:pStyle w:val="NormalWeb"/>
        <w:spacing w:before="0" w:beforeAutospacing="0" w:after="40" w:afterAutospacing="0"/>
        <w:jc w:val="center"/>
        <w:rPr>
          <w:color w:val="000000"/>
          <w:sz w:val="24"/>
          <w:szCs w:val="24"/>
          <w:lang w:val="en-GB"/>
        </w:rPr>
      </w:pPr>
      <w:r>
        <w:rPr>
          <w:rFonts w:ascii="Arial" w:hAnsi="Arial" w:cs="Arial"/>
          <w:b/>
          <w:bCs/>
          <w:color w:val="000000"/>
        </w:rPr>
        <w:t>RISK IDENTIFICATION REPORT</w:t>
      </w:r>
    </w:p>
    <w:p w14:paraId="4ED9DBC2" w14:textId="77777777" w:rsidR="000724BB" w:rsidRDefault="000724BB" w:rsidP="000724BB">
      <w:pPr>
        <w:pStyle w:val="NormalWeb"/>
        <w:spacing w:before="0" w:beforeAutospacing="0" w:after="40" w:afterAutospacing="0"/>
        <w:jc w:val="center"/>
        <w:rPr>
          <w:color w:val="000000"/>
        </w:rPr>
      </w:pPr>
      <w:r>
        <w:rPr>
          <w:rFonts w:ascii="Arial" w:hAnsi="Arial" w:cs="Arial"/>
          <w:b/>
          <w:bCs/>
          <w:color w:val="000000"/>
        </w:rPr>
        <w:t>Pampered Pets: selective digitalisation as a resilience strategy</w:t>
      </w:r>
    </w:p>
    <w:p w14:paraId="16D09060" w14:textId="77777777" w:rsidR="000724BB" w:rsidRPr="000724BB" w:rsidRDefault="000724BB" w:rsidP="000724BB">
      <w:pPr>
        <w:pStyle w:val="Heading1"/>
        <w:rPr>
          <w:b/>
          <w:bCs/>
          <w:color w:val="000000"/>
        </w:rPr>
      </w:pPr>
      <w:r w:rsidRPr="000724BB">
        <w:rPr>
          <w:rFonts w:ascii="Arial" w:hAnsi="Arial" w:cs="Arial"/>
          <w:b/>
          <w:bCs/>
          <w:color w:val="000000"/>
          <w:sz w:val="20"/>
          <w:szCs w:val="20"/>
        </w:rPr>
        <w:t>1. Decision frame and methodology</w:t>
      </w:r>
    </w:p>
    <w:p w14:paraId="5A3F6E24"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The decision is which information flows to digitalise without dismantling valuable capabilities. Local supply and personal service are resilience assets; the old computer, shared Wi-Fi and email ordering create exposure. Selective digitalisation should strengthen traceability and customer access while preserving local recoverability, recognising that digital opportunities and risks arise together (Renn, Beier and Schweizer, 2021; Sørensen, 2018).</w:t>
      </w:r>
    </w:p>
    <w:p w14:paraId="4E714EEB"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ISO 31000 provides the decision framework and integrates operational, security and compliance risks (AIRMIC, Alarm and IRM, 2010; Barafort, Mesquida and Mas, 2019). STRIDE is restricted to identities, systems and data flows because it cannot evaluate food safety, capacity or supplier economics (Shevchenko et al., 2018); these require qualitative scenarios. The same likelihood-impact scale is applied to both states for consistent comparison. Without incident, margin, customer or supplier data, ratings remain provisional judgements rather than false precision (Aven and Thekdi, 2025).</w:t>
      </w:r>
    </w:p>
    <w:p w14:paraId="6BED602A" w14:textId="77777777" w:rsidR="000724BB" w:rsidRPr="000724BB" w:rsidRDefault="000724BB" w:rsidP="000724BB">
      <w:pPr>
        <w:pStyle w:val="Heading1"/>
        <w:rPr>
          <w:b/>
          <w:bCs/>
          <w:color w:val="000000"/>
        </w:rPr>
      </w:pPr>
      <w:r w:rsidRPr="000724BB">
        <w:rPr>
          <w:rFonts w:ascii="Arial" w:hAnsi="Arial" w:cs="Arial"/>
          <w:b/>
          <w:bCs/>
          <w:color w:val="000000"/>
          <w:sz w:val="20"/>
          <w:szCs w:val="20"/>
        </w:rPr>
        <w:t>2. Current-state risk assessment</w:t>
      </w:r>
    </w:p>
    <w:p w14:paraId="0C8F2073" w14:textId="77777777" w:rsidR="000724BB" w:rsidRDefault="000724BB" w:rsidP="000724BB">
      <w:pPr>
        <w:pStyle w:val="NormalWeb"/>
        <w:spacing w:before="0" w:beforeAutospacing="0" w:after="0" w:afterAutospacing="0"/>
        <w:ind w:left="360" w:hanging="360"/>
        <w:rPr>
          <w:color w:val="000000"/>
        </w:rPr>
      </w:pPr>
      <w:r>
        <w:rPr>
          <w:rFonts w:ascii="Arial" w:hAnsi="Arial" w:cs="Arial"/>
          <w:b/>
          <w:bCs/>
          <w:color w:val="000000"/>
          <w:sz w:val="20"/>
          <w:szCs w:val="20"/>
        </w:rPr>
        <w:t>·</w:t>
      </w:r>
      <w:r>
        <w:rPr>
          <w:b/>
          <w:bCs/>
          <w:color w:val="000000"/>
          <w:sz w:val="14"/>
          <w:szCs w:val="14"/>
        </w:rPr>
        <w:t xml:space="preserve">       </w:t>
      </w:r>
      <w:r>
        <w:rPr>
          <w:rFonts w:ascii="Arial" w:hAnsi="Arial" w:cs="Arial"/>
          <w:b/>
          <w:bCs/>
          <w:color w:val="000000"/>
          <w:sz w:val="20"/>
          <w:szCs w:val="20"/>
        </w:rPr>
        <w:t>Data availability and malware -</w:t>
      </w:r>
      <w:r>
        <w:rPr>
          <w:rFonts w:ascii="Arial" w:hAnsi="Arial" w:cs="Arial"/>
          <w:color w:val="000000"/>
          <w:sz w:val="20"/>
          <w:szCs w:val="20"/>
        </w:rPr>
        <w:t xml:space="preserve"> Likelihood: Medium; Impact: High. Loss or corruption of the warehouse spreadsheet could remove stock visibility; shared Wi-Fi and personal devices provide a malware route. Support and backup status must be verified. Mitigate with a supported endpoint, segregated networks, least-privilege accounts, MFA and tested offline backups (Sutton, 2021).</w:t>
      </w:r>
    </w:p>
    <w:p w14:paraId="69DC928C"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 xml:space="preserve">Product safety and traceability </w:t>
      </w:r>
      <w:r>
        <w:rPr>
          <w:rFonts w:ascii="Arial" w:hAnsi="Arial" w:cs="Arial"/>
          <w:color w:val="000000"/>
          <w:sz w:val="20"/>
          <w:szCs w:val="20"/>
        </w:rPr>
        <w:t>- Likelihood: Medium; Impact: High. Incorrect ingredient, allergen, expiry or batch information could undermine quality control and recalls. Use controlled records, supplier reconciliation, dual checks, recall exercises and a manual fallback. Digitisation may otherwise propagate one error rapidly (Aven and Thekdi, 2025).</w:t>
      </w:r>
    </w:p>
    <w:p w14:paraId="4DEEFC98"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0"/>
          <w:szCs w:val="20"/>
        </w:rPr>
        <w:t>Supplier, people and premises concentration</w:t>
      </w:r>
      <w:r>
        <w:rPr>
          <w:rFonts w:ascii="Arial" w:hAnsi="Arial" w:cs="Arial"/>
          <w:color w:val="000000"/>
          <w:sz w:val="20"/>
          <w:szCs w:val="20"/>
        </w:rPr>
        <w:t xml:space="preserve"> - Likelihood: Medium; Impact: High. Local disruption, staff absence or premises loss could affect several functions, although ten-minute supplier access supports recovery. Mitigate through secondary local suppliers, safety stock, cross-training, off-site records, continuity procedures and insurance (Sutton, 2021).</w:t>
      </w:r>
    </w:p>
    <w:p w14:paraId="645D3719"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 xml:space="preserve">Fraud, privacy and payment </w:t>
      </w:r>
      <w:r>
        <w:rPr>
          <w:rFonts w:ascii="Arial" w:hAnsi="Arial" w:cs="Arial"/>
          <w:color w:val="000000"/>
          <w:sz w:val="20"/>
          <w:szCs w:val="20"/>
        </w:rPr>
        <w:t>- Likelihood: Medium; Impact: Medium-High. Email ordering enables phishing, fraudulent bank-detail changes and excessive data retention. Independent call-back, dual payment approval, data minimisation and deletion schedules are proportionate (ICO, 2020); PCI-DSS applies where cards are accepted (PCI SSC, 2020).</w:t>
      </w:r>
    </w:p>
    <w:p w14:paraId="671798CA" w14:textId="77777777" w:rsidR="000724BB" w:rsidRDefault="000724BB" w:rsidP="000724BB">
      <w:pPr>
        <w:pStyle w:val="NormalWeb"/>
        <w:spacing w:before="0" w:beforeAutospacing="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 xml:space="preserve">Strategic inaction </w:t>
      </w:r>
      <w:r>
        <w:rPr>
          <w:rFonts w:ascii="Arial" w:hAnsi="Arial" w:cs="Arial"/>
          <w:color w:val="000000"/>
          <w:sz w:val="20"/>
          <w:szCs w:val="20"/>
        </w:rPr>
        <w:t>- Likelihood: Medium and rising; Impact: Medium-High. Securing current systems cannot prevent migration towards convenient competitors. Test this through customer research and a digital pilot.</w:t>
      </w:r>
    </w:p>
    <w:p w14:paraId="0F4D6E01" w14:textId="77777777" w:rsidR="000724BB" w:rsidRPr="000724BB" w:rsidRDefault="000724BB" w:rsidP="000724BB">
      <w:pPr>
        <w:pStyle w:val="Heading1"/>
        <w:rPr>
          <w:b/>
          <w:bCs/>
          <w:color w:val="000000"/>
        </w:rPr>
      </w:pPr>
      <w:r w:rsidRPr="000724BB">
        <w:rPr>
          <w:rFonts w:ascii="Arial" w:hAnsi="Arial" w:cs="Arial"/>
          <w:b/>
          <w:bCs/>
          <w:color w:val="000000"/>
          <w:sz w:val="20"/>
          <w:szCs w:val="20"/>
        </w:rPr>
        <w:t>3. Digitalisation as risk migration</w:t>
      </w:r>
    </w:p>
    <w:p w14:paraId="2881D011"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Proposed changes are click-and-collect, authoritative online product information, and cloud inventory and batch traceability, initially retaining in-store payment and local sourcing. This migrates risk from local, manually recoverable failures towards interconnected dependencies (Renn, Beier and Schweizer, 2021; Sørensen, 2018). STRIDE-informed technical threats and wider operational risk scenarios are evaluated below.:</w:t>
      </w:r>
    </w:p>
    <w:p w14:paraId="1717DC64"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rFonts w:ascii="Arial" w:hAnsi="Arial" w:cs="Arial"/>
          <w:b/>
          <w:bCs/>
          <w:color w:val="000000"/>
          <w:sz w:val="20"/>
          <w:szCs w:val="20"/>
        </w:rPr>
        <w:t xml:space="preserve">Tampering </w:t>
      </w:r>
      <w:r>
        <w:rPr>
          <w:rFonts w:ascii="Arial" w:hAnsi="Arial" w:cs="Arial"/>
          <w:color w:val="000000"/>
          <w:sz w:val="20"/>
          <w:szCs w:val="20"/>
        </w:rPr>
        <w:t xml:space="preserve">- Likelihood: Medium; Impact: High. Accidental or </w:t>
      </w:r>
      <w:proofErr w:type="spellStart"/>
      <w:r>
        <w:rPr>
          <w:rFonts w:ascii="Arial" w:hAnsi="Arial" w:cs="Arial"/>
          <w:color w:val="000000"/>
          <w:sz w:val="20"/>
          <w:szCs w:val="20"/>
        </w:rPr>
        <w:t>unauthorised</w:t>
      </w:r>
      <w:proofErr w:type="spellEnd"/>
      <w:r>
        <w:rPr>
          <w:rFonts w:ascii="Arial" w:hAnsi="Arial" w:cs="Arial"/>
          <w:color w:val="000000"/>
          <w:sz w:val="20"/>
          <w:szCs w:val="20"/>
        </w:rPr>
        <w:t xml:space="preserve"> alteration could corrupt stock decisions, product descriptions and recall evidence simultaneously. Role-based access, dual approval, immutable audit history and supplier reconciliation reduce exposure, but availability cannot compensate for lost integrity (Sutton, 2021).</w:t>
      </w:r>
    </w:p>
    <w:p w14:paraId="096EB55C"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 xml:space="preserve">Spoofing/elevation of privilege </w:t>
      </w:r>
      <w:r>
        <w:rPr>
          <w:rFonts w:ascii="Arial" w:hAnsi="Arial" w:cs="Arial"/>
          <w:color w:val="000000"/>
          <w:sz w:val="20"/>
          <w:szCs w:val="20"/>
        </w:rPr>
        <w:t>- Likelihood: Medium; Impact: High. Stolen staff or administrator credentials could permit safety-critical changes. Use MFA, unique accounts, least privilege, privileged-action alerts and prompt access removal.</w:t>
      </w:r>
    </w:p>
    <w:p w14:paraId="77303368"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 xml:space="preserve">Denial of service </w:t>
      </w:r>
      <w:r>
        <w:rPr>
          <w:rFonts w:ascii="Arial" w:hAnsi="Arial" w:cs="Arial"/>
          <w:color w:val="000000"/>
          <w:sz w:val="20"/>
          <w:szCs w:val="20"/>
        </w:rPr>
        <w:t xml:space="preserve">- Likelihood: Medium; Impact: High. Ransomware, provider failure, account lockout or corrupt synchronisation could disable ordering, fulfilment and traceability. Independent backups, </w:t>
      </w:r>
      <w:r>
        <w:rPr>
          <w:rFonts w:ascii="Arial" w:hAnsi="Arial" w:cs="Arial"/>
          <w:color w:val="000000"/>
          <w:sz w:val="20"/>
          <w:szCs w:val="20"/>
        </w:rPr>
        <w:lastRenderedPageBreak/>
        <w:t>tested export and restoration, contractual recovery requirements and a paper-based degraded mode reduce disruption (Sutton, 2021).</w:t>
      </w:r>
    </w:p>
    <w:p w14:paraId="0F310456" w14:textId="77777777" w:rsidR="000724BB" w:rsidRDefault="000724BB" w:rsidP="000724BB">
      <w:pPr>
        <w:pStyle w:val="NormalWeb"/>
        <w:spacing w:before="0" w:beforeAutospacing="0" w:after="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Information disclosure/repudiation</w:t>
      </w:r>
      <w:r>
        <w:rPr>
          <w:rFonts w:ascii="Arial" w:hAnsi="Arial" w:cs="Arial"/>
          <w:color w:val="000000"/>
          <w:sz w:val="20"/>
          <w:szCs w:val="20"/>
        </w:rPr>
        <w:t xml:space="preserve"> - Likelihood: Medium; Impact: Medium. Online ordering creates personal-data exposure and disputes over actions. </w:t>
      </w:r>
      <w:proofErr w:type="spellStart"/>
      <w:r>
        <w:rPr>
          <w:rFonts w:ascii="Arial" w:hAnsi="Arial" w:cs="Arial"/>
          <w:color w:val="000000"/>
          <w:sz w:val="20"/>
          <w:szCs w:val="20"/>
        </w:rPr>
        <w:t>Minimise</w:t>
      </w:r>
      <w:proofErr w:type="spellEnd"/>
      <w:r>
        <w:rPr>
          <w:rFonts w:ascii="Arial" w:hAnsi="Arial" w:cs="Arial"/>
          <w:color w:val="000000"/>
          <w:sz w:val="20"/>
          <w:szCs w:val="20"/>
        </w:rPr>
        <w:t xml:space="preserve"> collection, restrict access, define deletion periods and retain auditable transaction records (ICO, 2020). A hosted PCI-DSS-compliant provider should be required before online payment (PCI SSC, 2020).</w:t>
      </w:r>
    </w:p>
    <w:p w14:paraId="66800BC4" w14:textId="77777777" w:rsidR="000724BB" w:rsidRDefault="000724BB" w:rsidP="000724BB">
      <w:pPr>
        <w:pStyle w:val="NormalWeb"/>
        <w:spacing w:before="0" w:beforeAutospacing="0" w:afterAutospacing="0"/>
        <w:ind w:left="360" w:hanging="360"/>
        <w:rPr>
          <w:color w:val="000000"/>
        </w:rPr>
      </w:pPr>
      <w:r>
        <w:rPr>
          <w:rFonts w:ascii="Arial" w:hAnsi="Arial" w:cs="Arial"/>
          <w:color w:val="000000"/>
          <w:sz w:val="20"/>
          <w:szCs w:val="20"/>
        </w:rPr>
        <w:t>·</w:t>
      </w:r>
      <w:r>
        <w:rPr>
          <w:color w:val="000000"/>
          <w:sz w:val="14"/>
          <w:szCs w:val="14"/>
        </w:rPr>
        <w:t xml:space="preserve">      </w:t>
      </w:r>
      <w:r>
        <w:rPr>
          <w:b/>
          <w:bCs/>
          <w:color w:val="000000"/>
          <w:sz w:val="14"/>
          <w:szCs w:val="14"/>
        </w:rPr>
        <w:t> </w:t>
      </w:r>
      <w:r>
        <w:rPr>
          <w:rFonts w:ascii="Arial" w:hAnsi="Arial" w:cs="Arial"/>
          <w:b/>
          <w:bCs/>
          <w:color w:val="000000"/>
          <w:sz w:val="20"/>
          <w:szCs w:val="20"/>
        </w:rPr>
        <w:t xml:space="preserve">Operational and supply-chain amplification </w:t>
      </w:r>
      <w:r>
        <w:rPr>
          <w:rFonts w:ascii="Arial" w:hAnsi="Arial" w:cs="Arial"/>
          <w:color w:val="000000"/>
          <w:sz w:val="20"/>
          <w:szCs w:val="20"/>
        </w:rPr>
        <w:t>- Likelihood: Medium; Impact: High. Rapid demand could overwhelm four employees, while international sourcing compounds transformation with quality, traceability and recovery risks. Apply order caps and fulfilment thresholds; exclude international sourcing from phase one.</w:t>
      </w:r>
    </w:p>
    <w:p w14:paraId="595044B4" w14:textId="77777777" w:rsidR="000724BB" w:rsidRPr="000724BB" w:rsidRDefault="000724BB" w:rsidP="000724BB">
      <w:pPr>
        <w:pStyle w:val="Heading1"/>
        <w:rPr>
          <w:b/>
          <w:bCs/>
          <w:color w:val="000000"/>
        </w:rPr>
      </w:pPr>
      <w:r w:rsidRPr="000724BB">
        <w:rPr>
          <w:rFonts w:ascii="Arial" w:hAnsi="Arial" w:cs="Arial"/>
          <w:b/>
          <w:bCs/>
          <w:color w:val="000000"/>
          <w:sz w:val="20"/>
          <w:szCs w:val="20"/>
        </w:rPr>
        <w:t>4. The three claims as an interacting scenario</w:t>
      </w:r>
    </w:p>
    <w:p w14:paraId="776899CF"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The 50%, 24% and 33% claims may be mutually incompatible. Fifty per cent growth could overload fulfilment and cause customer loss. A 24% purchase-price reduction could weaken traceability and the local identity supporting growth. The relevant question is whether the combined model remains viable under stress because interventions produce interacting consequences (Renn, Beier and Schweizer, 2021).</w:t>
      </w:r>
    </w:p>
    <w:p w14:paraId="02E19409"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 xml:space="preserve">No case evidence supports a 50% demand uplift. Digitalisation may enable new business models and market access, but its outcome depends on context and implementation rather than the technology alone (Sørensen, 2018). The claim cannot supply Pampered Pets' conversion rate, repeat-purchase </w:t>
      </w:r>
      <w:proofErr w:type="spellStart"/>
      <w:r>
        <w:rPr>
          <w:rFonts w:ascii="Arial" w:hAnsi="Arial" w:cs="Arial"/>
          <w:color w:val="000000"/>
          <w:sz w:val="20"/>
          <w:szCs w:val="20"/>
        </w:rPr>
        <w:t>behaviour</w:t>
      </w:r>
      <w:proofErr w:type="spellEnd"/>
      <w:r>
        <w:rPr>
          <w:rFonts w:ascii="Arial" w:hAnsi="Arial" w:cs="Arial"/>
          <w:color w:val="000000"/>
          <w:sz w:val="20"/>
          <w:szCs w:val="20"/>
        </w:rPr>
        <w:t xml:space="preserve"> or contribution margin and should be treated as a stress test for capacity, not a forecast (Aven and Thekdi, 2025).</w:t>
      </w:r>
    </w:p>
    <w:p w14:paraId="22F8DE16"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Similarly, 24% is meaningless without total-cost modelling covering freight, duties, currency, working capital, quality failures and disruption. The strength of knowledge matters alongside a calculated risk value (Aven and Thekdi, 2025). The 33% claim lacks segmentation, a churn baseline and competitor evidence. A survey and pilot can test convenience but not validate a predetermined percentage.</w:t>
      </w:r>
    </w:p>
    <w:p w14:paraId="406CAA0B" w14:textId="77777777" w:rsidR="000724BB" w:rsidRPr="000724BB" w:rsidRDefault="000724BB" w:rsidP="000724BB">
      <w:pPr>
        <w:pStyle w:val="Heading1"/>
        <w:rPr>
          <w:b/>
          <w:bCs/>
          <w:color w:val="000000"/>
        </w:rPr>
      </w:pPr>
      <w:r w:rsidRPr="000724BB">
        <w:rPr>
          <w:rFonts w:ascii="Arial" w:hAnsi="Arial" w:cs="Arial"/>
          <w:b/>
          <w:bCs/>
          <w:color w:val="000000"/>
          <w:sz w:val="20"/>
          <w:szCs w:val="20"/>
        </w:rPr>
        <w:t>5. Recommendation: preserve reversibility</w:t>
      </w:r>
    </w:p>
    <w:p w14:paraId="23C42D62"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Pampered Pets should digitalise its information flows, not digitalise away its identity. Phase zero should secure the existing environment and document recall, continuity and manual operating procedures. Phase one should pilot click-and-collect, product information and cloud traceability for three to six months, with order caps and in-store payment. Expansion should require agreed thresholds for stock accuracy, packing errors, fulfilment time, complaints, repeat purchases, security incidents and contribution margin.</w:t>
      </w:r>
    </w:p>
    <w:p w14:paraId="380DC3B9"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Small, reversible commitments preserve the ability to expand, redesign or stop as uncertainty is reduced through evidence. This follows ISO 31000's iterative emphasis on monitoring, review and treatment adjustment rather than one-off compliance (AIRMIC, Alarm and IRM, 2010; Barafort, Mesquida and Mas, 2019). Online payment and limited trials with non-critical international suppliers should be separate later decisions, never bundled with the initial pilot. The recommendation is therefore conditional, not pro-technology: proceed only while measured benefits exceed the new concentration, safety and identity risks created by scale.</w:t>
      </w:r>
    </w:p>
    <w:p w14:paraId="031A4FC0"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 </w:t>
      </w:r>
    </w:p>
    <w:p w14:paraId="23722D6D" w14:textId="77777777" w:rsidR="000724BB" w:rsidRDefault="000724BB" w:rsidP="000724BB">
      <w:pPr>
        <w:spacing w:after="240"/>
        <w:rPr>
          <w:color w:val="000000"/>
        </w:rPr>
      </w:pPr>
    </w:p>
    <w:p w14:paraId="63AF974D" w14:textId="77777777" w:rsidR="000724BB" w:rsidRDefault="000724BB" w:rsidP="000724BB">
      <w:pPr>
        <w:spacing w:after="240"/>
        <w:rPr>
          <w:color w:val="000000"/>
        </w:rPr>
      </w:pPr>
    </w:p>
    <w:p w14:paraId="23F56D82" w14:textId="77777777" w:rsidR="000724BB" w:rsidRDefault="000724BB" w:rsidP="000724BB">
      <w:pPr>
        <w:spacing w:after="240"/>
        <w:rPr>
          <w:color w:val="000000"/>
        </w:rPr>
      </w:pPr>
    </w:p>
    <w:p w14:paraId="6E457CAC" w14:textId="77777777" w:rsidR="000724BB" w:rsidRPr="000724BB" w:rsidRDefault="000724BB" w:rsidP="000724BB">
      <w:pPr>
        <w:pStyle w:val="Heading2"/>
        <w:rPr>
          <w:b/>
          <w:bCs/>
          <w:color w:val="000000"/>
        </w:rPr>
      </w:pPr>
      <w:r w:rsidRPr="000724BB">
        <w:rPr>
          <w:rFonts w:ascii="Arial" w:hAnsi="Arial" w:cs="Arial"/>
          <w:b/>
          <w:bCs/>
          <w:color w:val="000000"/>
          <w:sz w:val="22"/>
          <w:szCs w:val="22"/>
        </w:rPr>
        <w:lastRenderedPageBreak/>
        <w:t>References</w:t>
      </w:r>
    </w:p>
    <w:p w14:paraId="7ACCCDAA"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AIRMIC, Alarm and IRM (2010) </w:t>
      </w:r>
      <w:r>
        <w:rPr>
          <w:rFonts w:ascii="Arial" w:hAnsi="Arial" w:cs="Arial"/>
          <w:i/>
          <w:iCs/>
          <w:color w:val="000000"/>
          <w:sz w:val="20"/>
          <w:szCs w:val="20"/>
        </w:rPr>
        <w:t>A structured approach to enterprise risk management and the requirements of ISO 31000</w:t>
      </w:r>
      <w:r>
        <w:rPr>
          <w:rFonts w:ascii="Arial" w:hAnsi="Arial" w:cs="Arial"/>
          <w:color w:val="000000"/>
          <w:sz w:val="20"/>
          <w:szCs w:val="20"/>
        </w:rPr>
        <w:t>. London: Association of Insurance and Risk Managers in Industry, Alarm and Institute of Risk Management.</w:t>
      </w:r>
    </w:p>
    <w:p w14:paraId="1DFAE447"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Aven, T. and Thekdi, S. (2025) </w:t>
      </w:r>
      <w:r>
        <w:rPr>
          <w:rFonts w:ascii="Arial" w:hAnsi="Arial" w:cs="Arial"/>
          <w:i/>
          <w:iCs/>
          <w:color w:val="000000"/>
          <w:sz w:val="20"/>
          <w:szCs w:val="20"/>
        </w:rPr>
        <w:t>Risk Science</w:t>
      </w:r>
      <w:r>
        <w:rPr>
          <w:rFonts w:ascii="Arial" w:hAnsi="Arial" w:cs="Arial"/>
          <w:color w:val="000000"/>
          <w:sz w:val="20"/>
          <w:szCs w:val="20"/>
        </w:rPr>
        <w:t>. 3rd edn. Abingdon: Routledge.</w:t>
      </w:r>
    </w:p>
    <w:p w14:paraId="3D143276"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Barafort, B., Mesquida, A.-L. and Mas, A. (2019) ‘ISO 31000-based integrated risk management process assessment model for IT organizations’, </w:t>
      </w:r>
      <w:r>
        <w:rPr>
          <w:rFonts w:ascii="Arial" w:hAnsi="Arial" w:cs="Arial"/>
          <w:i/>
          <w:iCs/>
          <w:color w:val="000000"/>
          <w:sz w:val="20"/>
          <w:szCs w:val="20"/>
        </w:rPr>
        <w:t>Journal of Software: Evolution and Process</w:t>
      </w:r>
      <w:r>
        <w:rPr>
          <w:rFonts w:ascii="Arial" w:hAnsi="Arial" w:cs="Arial"/>
          <w:color w:val="000000"/>
          <w:sz w:val="20"/>
          <w:szCs w:val="20"/>
        </w:rPr>
        <w:t xml:space="preserve">, 31(1), e1984. Available at: </w:t>
      </w:r>
      <w:hyperlink r:id="rId8" w:history="1">
        <w:r>
          <w:rPr>
            <w:rStyle w:val="Hyperlink"/>
            <w:rFonts w:ascii="Arial" w:hAnsi="Arial" w:cs="Arial"/>
            <w:color w:val="000000"/>
            <w:sz w:val="20"/>
            <w:szCs w:val="20"/>
          </w:rPr>
          <w:t>https://doi.org/10.1002/smr.1984</w:t>
        </w:r>
      </w:hyperlink>
      <w:r>
        <w:rPr>
          <w:rFonts w:ascii="Arial" w:hAnsi="Arial" w:cs="Arial"/>
          <w:color w:val="000000"/>
          <w:sz w:val="20"/>
          <w:szCs w:val="20"/>
        </w:rPr>
        <w:t>.</w:t>
      </w:r>
    </w:p>
    <w:p w14:paraId="4AE0BB53"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Information Commissioner’s Office (ICO) (2020) </w:t>
      </w:r>
      <w:r>
        <w:rPr>
          <w:rFonts w:ascii="Arial" w:hAnsi="Arial" w:cs="Arial"/>
          <w:i/>
          <w:iCs/>
          <w:color w:val="000000"/>
          <w:sz w:val="20"/>
          <w:szCs w:val="20"/>
        </w:rPr>
        <w:t>Guide to the General Data Protection Regulation (GDPR)</w:t>
      </w:r>
      <w:r>
        <w:rPr>
          <w:rFonts w:ascii="Arial" w:hAnsi="Arial" w:cs="Arial"/>
          <w:color w:val="000000"/>
          <w:sz w:val="20"/>
          <w:szCs w:val="20"/>
        </w:rPr>
        <w:t xml:space="preserve">. Available at: </w:t>
      </w:r>
      <w:hyperlink r:id="rId9" w:history="1">
        <w:r>
          <w:rPr>
            <w:rStyle w:val="Hyperlink"/>
            <w:rFonts w:ascii="Arial" w:hAnsi="Arial" w:cs="Arial"/>
            <w:color w:val="000000"/>
            <w:sz w:val="20"/>
            <w:szCs w:val="20"/>
          </w:rPr>
          <w:t>https://ico.org.uk/for-organisations/guide-to-data-protection/guide-to-the-general-data-protection-regulation-gdpr/</w:t>
        </w:r>
      </w:hyperlink>
      <w:r>
        <w:rPr>
          <w:rFonts w:ascii="Arial" w:hAnsi="Arial" w:cs="Arial"/>
          <w:color w:val="000000"/>
          <w:sz w:val="20"/>
          <w:szCs w:val="20"/>
        </w:rPr>
        <w:t>(Accessed: 30 August 2026).</w:t>
      </w:r>
    </w:p>
    <w:p w14:paraId="2A7F2C8E"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PCI Security Standards Council (PCI SSC) (2020) </w:t>
      </w:r>
      <w:r>
        <w:rPr>
          <w:rFonts w:ascii="Arial" w:hAnsi="Arial" w:cs="Arial"/>
          <w:i/>
          <w:iCs/>
          <w:color w:val="000000"/>
          <w:sz w:val="20"/>
          <w:szCs w:val="20"/>
        </w:rPr>
        <w:t>PCI Security Standards Overview</w:t>
      </w:r>
      <w:r>
        <w:rPr>
          <w:rFonts w:ascii="Arial" w:hAnsi="Arial" w:cs="Arial"/>
          <w:color w:val="000000"/>
          <w:sz w:val="20"/>
          <w:szCs w:val="20"/>
        </w:rPr>
        <w:t xml:space="preserve">. Available at: </w:t>
      </w:r>
      <w:hyperlink r:id="rId10" w:history="1">
        <w:r>
          <w:rPr>
            <w:rStyle w:val="Hyperlink"/>
            <w:rFonts w:ascii="Arial" w:hAnsi="Arial" w:cs="Arial"/>
            <w:color w:val="000000"/>
            <w:sz w:val="20"/>
            <w:szCs w:val="20"/>
          </w:rPr>
          <w:t>https://www.pcisecuritystandards.org/standards/</w:t>
        </w:r>
      </w:hyperlink>
      <w:r>
        <w:rPr>
          <w:rFonts w:ascii="Arial" w:hAnsi="Arial" w:cs="Arial"/>
          <w:color w:val="000000"/>
          <w:sz w:val="20"/>
          <w:szCs w:val="20"/>
        </w:rPr>
        <w:t xml:space="preserve"> (Accessed: 30 August 2026).</w:t>
      </w:r>
    </w:p>
    <w:p w14:paraId="6BDD0F69"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Renn, O., Beier, G. and Schweizer, P.-J. (2021) ‘The opportunities and risks of digitalisation for sustainable development: a systemic perspective’, </w:t>
      </w:r>
      <w:r>
        <w:rPr>
          <w:rFonts w:ascii="Arial" w:hAnsi="Arial" w:cs="Arial"/>
          <w:i/>
          <w:iCs/>
          <w:color w:val="000000"/>
          <w:sz w:val="20"/>
          <w:szCs w:val="20"/>
        </w:rPr>
        <w:t>GAIA – Ecological Perspectives for Science and Society</w:t>
      </w:r>
      <w:r>
        <w:rPr>
          <w:rFonts w:ascii="Arial" w:hAnsi="Arial" w:cs="Arial"/>
          <w:color w:val="000000"/>
          <w:sz w:val="20"/>
          <w:szCs w:val="20"/>
        </w:rPr>
        <w:t xml:space="preserve">, 30(1), pp. 23–28. Available at: </w:t>
      </w:r>
      <w:hyperlink r:id="rId11" w:history="1">
        <w:r>
          <w:rPr>
            <w:rStyle w:val="Hyperlink"/>
            <w:rFonts w:ascii="Arial" w:hAnsi="Arial" w:cs="Arial"/>
            <w:color w:val="000000"/>
            <w:sz w:val="20"/>
            <w:szCs w:val="20"/>
          </w:rPr>
          <w:t>https://doi.org/10.14512/gaia.30.1.6</w:t>
        </w:r>
      </w:hyperlink>
      <w:r>
        <w:rPr>
          <w:rFonts w:ascii="Arial" w:hAnsi="Arial" w:cs="Arial"/>
          <w:color w:val="000000"/>
          <w:sz w:val="20"/>
          <w:szCs w:val="20"/>
        </w:rPr>
        <w:t>.</w:t>
      </w:r>
    </w:p>
    <w:p w14:paraId="1AA52875"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Shevchenko, N., Chick, T.A., O’Riordan, P., Scanlon, T.P. and Woody, C. (2018) </w:t>
      </w:r>
      <w:r>
        <w:rPr>
          <w:rFonts w:ascii="Arial" w:hAnsi="Arial" w:cs="Arial"/>
          <w:i/>
          <w:iCs/>
          <w:color w:val="000000"/>
          <w:sz w:val="20"/>
          <w:szCs w:val="20"/>
        </w:rPr>
        <w:t>Threat Modeling: A Summary of Available Methods</w:t>
      </w:r>
      <w:r>
        <w:rPr>
          <w:rFonts w:ascii="Arial" w:hAnsi="Arial" w:cs="Arial"/>
          <w:color w:val="000000"/>
          <w:sz w:val="20"/>
          <w:szCs w:val="20"/>
        </w:rPr>
        <w:t xml:space="preserve">. Pittsburgh, PA: Carnegie Mellon University Software Engineering Institute. Available at: </w:t>
      </w:r>
      <w:hyperlink r:id="rId12" w:history="1">
        <w:r>
          <w:rPr>
            <w:rStyle w:val="Hyperlink"/>
            <w:rFonts w:ascii="Arial" w:hAnsi="Arial" w:cs="Arial"/>
            <w:color w:val="000000"/>
            <w:sz w:val="20"/>
            <w:szCs w:val="20"/>
          </w:rPr>
          <w:t>https://www.sei.cmu.edu/library/threat-modeling-a-summary-of-available-methods/</w:t>
        </w:r>
      </w:hyperlink>
      <w:r>
        <w:rPr>
          <w:rFonts w:ascii="Arial" w:hAnsi="Arial" w:cs="Arial"/>
          <w:color w:val="000000"/>
          <w:sz w:val="20"/>
          <w:szCs w:val="20"/>
        </w:rPr>
        <w:t xml:space="preserve"> (Accessed: 30 August 2026).</w:t>
      </w:r>
    </w:p>
    <w:p w14:paraId="4D0DC6FA"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Sørensen, B.T. (2018) ‘Digitalisation: an opportunity or a risk?’, </w:t>
      </w:r>
      <w:r>
        <w:rPr>
          <w:rFonts w:ascii="Arial" w:hAnsi="Arial" w:cs="Arial"/>
          <w:i/>
          <w:iCs/>
          <w:color w:val="000000"/>
          <w:sz w:val="20"/>
          <w:szCs w:val="20"/>
        </w:rPr>
        <w:t>Journal of European Competition Law &amp; Practice</w:t>
      </w:r>
      <w:r>
        <w:rPr>
          <w:rFonts w:ascii="Arial" w:hAnsi="Arial" w:cs="Arial"/>
          <w:color w:val="000000"/>
          <w:sz w:val="20"/>
          <w:szCs w:val="20"/>
        </w:rPr>
        <w:t xml:space="preserve">, 9(6), pp. 349–350. Available at: </w:t>
      </w:r>
      <w:hyperlink r:id="rId13" w:history="1">
        <w:r>
          <w:rPr>
            <w:rStyle w:val="Hyperlink"/>
            <w:rFonts w:ascii="Arial" w:hAnsi="Arial" w:cs="Arial"/>
            <w:color w:val="000000"/>
            <w:sz w:val="20"/>
            <w:szCs w:val="20"/>
          </w:rPr>
          <w:t>https://doi.org/10.1093/jeclap/lpy038</w:t>
        </w:r>
      </w:hyperlink>
      <w:r>
        <w:rPr>
          <w:rFonts w:ascii="Arial" w:hAnsi="Arial" w:cs="Arial"/>
          <w:color w:val="000000"/>
          <w:sz w:val="20"/>
          <w:szCs w:val="20"/>
        </w:rPr>
        <w:t>.</w:t>
      </w:r>
    </w:p>
    <w:p w14:paraId="249740AF" w14:textId="77777777" w:rsidR="000724BB" w:rsidRDefault="000724BB" w:rsidP="000724BB">
      <w:pPr>
        <w:pStyle w:val="NormalWeb"/>
        <w:spacing w:before="220" w:beforeAutospacing="0" w:after="220" w:afterAutospacing="0"/>
        <w:rPr>
          <w:color w:val="000000"/>
        </w:rPr>
      </w:pPr>
      <w:r>
        <w:rPr>
          <w:rFonts w:ascii="Arial" w:hAnsi="Arial" w:cs="Arial"/>
          <w:color w:val="000000"/>
          <w:sz w:val="20"/>
          <w:szCs w:val="20"/>
        </w:rPr>
        <w:t xml:space="preserve">Sutton, D. (2021) </w:t>
      </w:r>
      <w:r>
        <w:rPr>
          <w:rFonts w:ascii="Arial" w:hAnsi="Arial" w:cs="Arial"/>
          <w:i/>
          <w:iCs/>
          <w:color w:val="000000"/>
          <w:sz w:val="20"/>
          <w:szCs w:val="20"/>
        </w:rPr>
        <w:t>Information Risk Management</w:t>
      </w:r>
      <w:r>
        <w:rPr>
          <w:rFonts w:ascii="Arial" w:hAnsi="Arial" w:cs="Arial"/>
          <w:color w:val="000000"/>
          <w:sz w:val="20"/>
          <w:szCs w:val="20"/>
        </w:rPr>
        <w:t>. 2nd edn. Swindon: BCS Learning &amp; Development Ltd.</w:t>
      </w:r>
    </w:p>
    <w:p w14:paraId="59994793" w14:textId="77777777" w:rsidR="000724BB" w:rsidRDefault="000724BB" w:rsidP="000724BB">
      <w:pPr>
        <w:pStyle w:val="NormalWeb"/>
        <w:spacing w:before="0" w:beforeAutospacing="0" w:afterAutospacing="0"/>
        <w:rPr>
          <w:color w:val="000000"/>
        </w:rPr>
      </w:pPr>
      <w:r>
        <w:rPr>
          <w:rFonts w:ascii="Arial" w:hAnsi="Arial" w:cs="Arial"/>
          <w:color w:val="000000"/>
          <w:sz w:val="20"/>
          <w:szCs w:val="20"/>
        </w:rPr>
        <w:t> </w:t>
      </w:r>
    </w:p>
    <w:p w14:paraId="685BAF9C" w14:textId="77777777" w:rsidR="000724BB" w:rsidRDefault="000724BB" w:rsidP="000724BB">
      <w:pPr>
        <w:spacing w:after="240"/>
        <w:rPr>
          <w:color w:val="auto"/>
        </w:rPr>
      </w:pPr>
    </w:p>
    <w:p w14:paraId="206CF261" w14:textId="77777777" w:rsidR="000724BB" w:rsidRDefault="000724BB" w:rsidP="000724BB"/>
    <w:p w14:paraId="38E88E42" w14:textId="77777777" w:rsidR="00A535B9" w:rsidRPr="000724BB" w:rsidRDefault="00A535B9" w:rsidP="000724BB"/>
    <w:sectPr w:rsidR="00A535B9" w:rsidRPr="000724BB" w:rsidSect="00DC164A">
      <w:headerReference w:type="default" r:id="rId14"/>
      <w:footerReference w:type="default" r:id="rId15"/>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6B7F60" w14:textId="77777777" w:rsidR="000A52CB" w:rsidRDefault="000A52CB" w:rsidP="00A535B9">
      <w:pPr>
        <w:spacing w:after="0" w:line="240" w:lineRule="auto"/>
      </w:pPr>
      <w:r>
        <w:separator/>
      </w:r>
    </w:p>
  </w:endnote>
  <w:endnote w:type="continuationSeparator" w:id="0">
    <w:p w14:paraId="0EC067F4" w14:textId="77777777" w:rsidR="000A52CB" w:rsidRDefault="000A52CB" w:rsidP="00A5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6F6F8" w14:textId="77777777" w:rsidR="009D72ED" w:rsidRDefault="009D72ED">
    <w:pPr>
      <w:pStyle w:val="Footer"/>
      <w:jc w:val="right"/>
    </w:pPr>
    <w:r>
      <w:rPr>
        <w:color w:val="606A73"/>
        <w:sz w:val="16"/>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23CF61" w14:textId="77777777" w:rsidR="000A52CB" w:rsidRDefault="000A52CB" w:rsidP="00A535B9">
      <w:pPr>
        <w:spacing w:after="0" w:line="240" w:lineRule="auto"/>
      </w:pPr>
      <w:r>
        <w:separator/>
      </w:r>
    </w:p>
  </w:footnote>
  <w:footnote w:type="continuationSeparator" w:id="0">
    <w:p w14:paraId="6A837E87" w14:textId="77777777" w:rsidR="000A52CB" w:rsidRDefault="000A52CB" w:rsidP="00A53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BE3D0D" w14:textId="16C0B8C3" w:rsidR="009D72ED" w:rsidRDefault="009D72E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CB02BB2"/>
    <w:lvl w:ilvl="0">
      <w:start w:val="1"/>
      <w:numFmt w:val="bullet"/>
      <w:pStyle w:val="ListBullet"/>
      <w:lvlText w:val=""/>
      <w:lvlJc w:val="left"/>
      <w:pPr>
        <w:tabs>
          <w:tab w:val="num" w:pos="360"/>
        </w:tabs>
        <w:ind w:left="360" w:hanging="360"/>
      </w:pPr>
      <w:rPr>
        <w:rFonts w:ascii="Symbol" w:hAnsi="Symbol" w:hint="default"/>
      </w:rPr>
    </w:lvl>
  </w:abstractNum>
  <w:num w:numId="1" w16cid:durableId="167839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B9"/>
    <w:rsid w:val="000724BB"/>
    <w:rsid w:val="000A52CB"/>
    <w:rsid w:val="00830A40"/>
    <w:rsid w:val="009D72ED"/>
    <w:rsid w:val="00A535B9"/>
    <w:rsid w:val="00C03BD5"/>
    <w:rsid w:val="00DC164A"/>
    <w:rsid w:val="00E47A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C7D8"/>
  <w15:chartTrackingRefBased/>
  <w15:docId w15:val="{BA89B3E6-C961-F04F-B991-C28F0F584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2ED"/>
    <w:pPr>
      <w:spacing w:after="100" w:line="259" w:lineRule="auto"/>
    </w:pPr>
    <w:rPr>
      <w:rFonts w:ascii="Arial" w:eastAsiaTheme="minorEastAsia" w:hAnsi="Arial"/>
      <w:color w:val="1F1F1F"/>
      <w:kern w:val="0"/>
      <w:sz w:val="21"/>
      <w:szCs w:val="22"/>
      <w:lang w:val="en-US"/>
      <w14:ligatures w14:val="none"/>
    </w:rPr>
  </w:style>
  <w:style w:type="paragraph" w:styleId="Heading1">
    <w:name w:val="heading 1"/>
    <w:basedOn w:val="Normal"/>
    <w:next w:val="Normal"/>
    <w:link w:val="Heading1Char"/>
    <w:uiPriority w:val="9"/>
    <w:qFormat/>
    <w:rsid w:val="00A53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B9"/>
    <w:rPr>
      <w:rFonts w:eastAsiaTheme="majorEastAsia" w:cstheme="majorBidi"/>
      <w:color w:val="272727" w:themeColor="text1" w:themeTint="D8"/>
    </w:rPr>
  </w:style>
  <w:style w:type="paragraph" w:styleId="Title">
    <w:name w:val="Title"/>
    <w:basedOn w:val="Normal"/>
    <w:next w:val="Normal"/>
    <w:link w:val="TitleChar"/>
    <w:uiPriority w:val="10"/>
    <w:qFormat/>
    <w:rsid w:val="00A5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B9"/>
    <w:pPr>
      <w:spacing w:before="160"/>
      <w:jc w:val="center"/>
    </w:pPr>
    <w:rPr>
      <w:i/>
      <w:iCs/>
      <w:color w:val="404040" w:themeColor="text1" w:themeTint="BF"/>
    </w:rPr>
  </w:style>
  <w:style w:type="character" w:customStyle="1" w:styleId="QuoteChar">
    <w:name w:val="Quote Char"/>
    <w:basedOn w:val="DefaultParagraphFont"/>
    <w:link w:val="Quote"/>
    <w:uiPriority w:val="29"/>
    <w:rsid w:val="00A535B9"/>
    <w:rPr>
      <w:i/>
      <w:iCs/>
      <w:color w:val="404040" w:themeColor="text1" w:themeTint="BF"/>
    </w:rPr>
  </w:style>
  <w:style w:type="paragraph" w:styleId="ListParagraph">
    <w:name w:val="List Paragraph"/>
    <w:basedOn w:val="Normal"/>
    <w:uiPriority w:val="34"/>
    <w:qFormat/>
    <w:rsid w:val="00A535B9"/>
    <w:pPr>
      <w:ind w:left="720"/>
      <w:contextualSpacing/>
    </w:pPr>
  </w:style>
  <w:style w:type="character" w:styleId="IntenseEmphasis">
    <w:name w:val="Intense Emphasis"/>
    <w:basedOn w:val="DefaultParagraphFont"/>
    <w:uiPriority w:val="21"/>
    <w:qFormat/>
    <w:rsid w:val="00A535B9"/>
    <w:rPr>
      <w:i/>
      <w:iCs/>
      <w:color w:val="0F4761" w:themeColor="accent1" w:themeShade="BF"/>
    </w:rPr>
  </w:style>
  <w:style w:type="paragraph" w:styleId="IntenseQuote">
    <w:name w:val="Intense Quote"/>
    <w:basedOn w:val="Normal"/>
    <w:next w:val="Normal"/>
    <w:link w:val="IntenseQuoteChar"/>
    <w:uiPriority w:val="30"/>
    <w:qFormat/>
    <w:rsid w:val="00A5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B9"/>
    <w:rPr>
      <w:i/>
      <w:iCs/>
      <w:color w:val="0F4761" w:themeColor="accent1" w:themeShade="BF"/>
    </w:rPr>
  </w:style>
  <w:style w:type="character" w:styleId="IntenseReference">
    <w:name w:val="Intense Reference"/>
    <w:basedOn w:val="DefaultParagraphFont"/>
    <w:uiPriority w:val="32"/>
    <w:qFormat/>
    <w:rsid w:val="00A535B9"/>
    <w:rPr>
      <w:b/>
      <w:bCs/>
      <w:smallCaps/>
      <w:color w:val="0F4761" w:themeColor="accent1" w:themeShade="BF"/>
      <w:spacing w:val="5"/>
    </w:rPr>
  </w:style>
  <w:style w:type="paragraph" w:styleId="NormalWeb">
    <w:name w:val="Normal (Web)"/>
    <w:basedOn w:val="Normal"/>
    <w:uiPriority w:val="99"/>
    <w:semiHidden/>
    <w:unhideWhenUsed/>
    <w:rsid w:val="00A535B9"/>
    <w:pPr>
      <w:spacing w:before="100" w:beforeAutospacing="1" w:afterAutospacing="1" w:line="240" w:lineRule="auto"/>
    </w:pPr>
    <w:rPr>
      <w:rFonts w:ascii="Times New Roman" w:eastAsia="Times New Roman" w:hAnsi="Times New Roman" w:cs="Times New Roman"/>
      <w:lang w:eastAsia="en-GB"/>
    </w:rPr>
  </w:style>
  <w:style w:type="paragraph" w:styleId="Header">
    <w:name w:val="header"/>
    <w:basedOn w:val="Normal"/>
    <w:link w:val="HeaderChar"/>
    <w:uiPriority w:val="99"/>
    <w:unhideWhenUsed/>
    <w:rsid w:val="00A535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5B9"/>
  </w:style>
  <w:style w:type="paragraph" w:styleId="Footer">
    <w:name w:val="footer"/>
    <w:basedOn w:val="Normal"/>
    <w:link w:val="FooterChar"/>
    <w:uiPriority w:val="99"/>
    <w:unhideWhenUsed/>
    <w:rsid w:val="00A535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5B9"/>
  </w:style>
  <w:style w:type="paragraph" w:customStyle="1" w:styleId="artifact-docx-previewheader">
    <w:name w:val="artifact-docx-preview_header"/>
    <w:basedOn w:val="Normal"/>
    <w:rsid w:val="009D72ED"/>
    <w:pPr>
      <w:spacing w:before="100" w:beforeAutospacing="1" w:afterAutospacing="1" w:line="240" w:lineRule="auto"/>
    </w:pPr>
    <w:rPr>
      <w:rFonts w:ascii="Times New Roman" w:eastAsia="Times New Roman" w:hAnsi="Times New Roman" w:cs="Times New Roman"/>
      <w:lang w:eastAsia="en-GB"/>
    </w:rPr>
  </w:style>
  <w:style w:type="paragraph" w:customStyle="1" w:styleId="artifact-docx-previewheading1">
    <w:name w:val="artifact-docx-preview_heading1"/>
    <w:basedOn w:val="Normal"/>
    <w:rsid w:val="009D72ED"/>
    <w:pPr>
      <w:spacing w:before="100" w:beforeAutospacing="1" w:afterAutospacing="1" w:line="240" w:lineRule="auto"/>
    </w:pPr>
    <w:rPr>
      <w:rFonts w:ascii="Times New Roman" w:eastAsia="Times New Roman" w:hAnsi="Times New Roman" w:cs="Times New Roman"/>
      <w:lang w:eastAsia="en-GB"/>
    </w:rPr>
  </w:style>
  <w:style w:type="paragraph" w:customStyle="1" w:styleId="artifact-docx-previewreference">
    <w:name w:val="artifact-docx-preview_reference"/>
    <w:basedOn w:val="Normal"/>
    <w:rsid w:val="009D72ED"/>
    <w:pPr>
      <w:spacing w:before="100" w:beforeAutospacing="1" w:afterAutospacing="1" w:line="240" w:lineRule="auto"/>
    </w:pPr>
    <w:rPr>
      <w:rFonts w:ascii="Times New Roman" w:eastAsia="Times New Roman" w:hAnsi="Times New Roman" w:cs="Times New Roman"/>
      <w:lang w:eastAsia="en-GB"/>
    </w:rPr>
  </w:style>
  <w:style w:type="paragraph" w:customStyle="1" w:styleId="artifact-docx-previewfooter">
    <w:name w:val="artifact-docx-preview_footer"/>
    <w:basedOn w:val="Normal"/>
    <w:rsid w:val="009D72ED"/>
    <w:pPr>
      <w:spacing w:before="100" w:beforeAutospacing="1" w:afterAutospacing="1" w:line="240" w:lineRule="auto"/>
    </w:pPr>
    <w:rPr>
      <w:rFonts w:ascii="Times New Roman" w:eastAsia="Times New Roman" w:hAnsi="Times New Roman" w:cs="Times New Roman"/>
      <w:lang w:eastAsia="en-GB"/>
    </w:rPr>
  </w:style>
  <w:style w:type="paragraph" w:customStyle="1" w:styleId="Reference">
    <w:name w:val="Reference"/>
    <w:rsid w:val="009D72ED"/>
    <w:pPr>
      <w:spacing w:after="80" w:line="240" w:lineRule="auto"/>
      <w:ind w:left="360" w:hanging="360"/>
    </w:pPr>
    <w:rPr>
      <w:rFonts w:ascii="Arial" w:eastAsiaTheme="minorEastAsia" w:hAnsi="Arial"/>
      <w:kern w:val="0"/>
      <w:sz w:val="18"/>
      <w:szCs w:val="22"/>
      <w:lang w:val="en-US"/>
      <w14:ligatures w14:val="none"/>
    </w:rPr>
  </w:style>
  <w:style w:type="character" w:customStyle="1" w:styleId="apple-converted-space">
    <w:name w:val="apple-converted-space"/>
    <w:basedOn w:val="DefaultParagraphFont"/>
    <w:rsid w:val="00DC164A"/>
  </w:style>
  <w:style w:type="character" w:styleId="Emphasis">
    <w:name w:val="Emphasis"/>
    <w:basedOn w:val="DefaultParagraphFont"/>
    <w:uiPriority w:val="20"/>
    <w:qFormat/>
    <w:rsid w:val="00DC164A"/>
    <w:rPr>
      <w:i/>
      <w:iCs/>
    </w:rPr>
  </w:style>
  <w:style w:type="character" w:styleId="Hyperlink">
    <w:name w:val="Hyperlink"/>
    <w:basedOn w:val="DefaultParagraphFont"/>
    <w:uiPriority w:val="99"/>
    <w:semiHidden/>
    <w:unhideWhenUsed/>
    <w:rsid w:val="00DC164A"/>
    <w:rPr>
      <w:color w:val="0000FF"/>
      <w:u w:val="single"/>
    </w:rPr>
  </w:style>
  <w:style w:type="paragraph" w:styleId="ListBullet">
    <w:name w:val="List Bullet"/>
    <w:basedOn w:val="Normal"/>
    <w:uiPriority w:val="99"/>
    <w:unhideWhenUsed/>
    <w:rsid w:val="00C03BD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smr.1984" TargetMode="External"/><Relationship Id="rId13" Type="http://schemas.openxmlformats.org/officeDocument/2006/relationships/hyperlink" Target="https://doi.org/10.1093/jeclap/lpy03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i.cmu.edu/library/threat-modeling-a-summary-of-available-method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4512/gaia.30.1.6"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pcisecuritystandards.org/standards/" TargetMode="External"/><Relationship Id="rId4" Type="http://schemas.openxmlformats.org/officeDocument/2006/relationships/settings" Target="settings.xml"/><Relationship Id="rId9" Type="http://schemas.openxmlformats.org/officeDocument/2006/relationships/hyperlink" Target="https://ico.org.uk/for-organisations/guide-to-data-protection/guide-to-the-general-data-protection-regulation-gdpr/"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6932-F995-6D49-BA27-8914C7474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1456</Words>
  <Characters>8302</Characters>
  <Application>Microsoft Office Word</Application>
  <DocSecurity>0</DocSecurity>
  <Lines>69</Lines>
  <Paragraphs>19</Paragraphs>
  <ScaleCrop>false</ScaleCrop>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Kaona Hoxha</dc:creator>
  <cp:keywords/>
  <dc:description/>
  <cp:lastModifiedBy>Kaona Hoxha</cp:lastModifiedBy>
  <cp:revision>6</cp:revision>
  <dcterms:created xsi:type="dcterms:W3CDTF">2026-09-02T19:02:00Z</dcterms:created>
  <dcterms:modified xsi:type="dcterms:W3CDTF">2026-09-02T20:11:00Z</dcterms:modified>
</cp:coreProperties>
</file>