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68F78" w14:textId="77777777" w:rsidR="008B267C" w:rsidRPr="00E13789" w:rsidRDefault="008B267C" w:rsidP="008B267C">
      <w:pPr>
        <w:pStyle w:val="NormalWeb"/>
        <w:rPr>
          <w:rFonts w:ascii="Arial" w:hAnsi="Arial" w:cs="Arial"/>
          <w:b/>
          <w:bCs/>
          <w:color w:val="000000"/>
          <w:sz w:val="28"/>
          <w:szCs w:val="28"/>
        </w:rPr>
      </w:pPr>
      <w:r w:rsidRPr="00E13789">
        <w:rPr>
          <w:rFonts w:ascii="Arial" w:hAnsi="Arial" w:cs="Arial"/>
          <w:b/>
          <w:bCs/>
          <w:color w:val="000000"/>
          <w:sz w:val="28"/>
          <w:szCs w:val="28"/>
        </w:rPr>
        <w:t>EXECUTIVE SUMMARY</w:t>
      </w:r>
    </w:p>
    <w:p w14:paraId="75AAB5B3" w14:textId="77777777" w:rsidR="008B267C" w:rsidRPr="00E13789" w:rsidRDefault="008B267C" w:rsidP="008B267C">
      <w:pPr>
        <w:pStyle w:val="NormalWeb"/>
        <w:rPr>
          <w:rFonts w:ascii="Arial" w:hAnsi="Arial" w:cs="Arial"/>
          <w:b/>
          <w:bCs/>
          <w:color w:val="000000"/>
        </w:rPr>
      </w:pPr>
      <w:r w:rsidRPr="00E13789">
        <w:rPr>
          <w:rFonts w:ascii="Arial" w:hAnsi="Arial" w:cs="Arial"/>
          <w:b/>
          <w:bCs/>
          <w:color w:val="000000"/>
        </w:rPr>
        <w:t>Pampered Pets: Quantitative Risk, Supply Resilience and Disaster Recovery</w:t>
      </w:r>
    </w:p>
    <w:p w14:paraId="31097C54" w14:textId="77777777" w:rsidR="008B267C" w:rsidRPr="00E13789" w:rsidRDefault="008B267C" w:rsidP="008B267C">
      <w:pPr>
        <w:pStyle w:val="NormalWeb"/>
        <w:rPr>
          <w:rFonts w:ascii="Arial" w:hAnsi="Arial" w:cs="Arial"/>
          <w:b/>
          <w:bCs/>
          <w:color w:val="000000"/>
          <w:sz w:val="22"/>
          <w:szCs w:val="22"/>
        </w:rPr>
      </w:pPr>
      <w:r w:rsidRPr="00E13789">
        <w:rPr>
          <w:rFonts w:ascii="Arial" w:hAnsi="Arial" w:cs="Arial"/>
          <w:b/>
          <w:bCs/>
          <w:color w:val="000000"/>
          <w:sz w:val="22"/>
          <w:szCs w:val="22"/>
        </w:rPr>
        <w:t>Executive decision</w:t>
      </w:r>
    </w:p>
    <w:p w14:paraId="53F3765C" w14:textId="77777777" w:rsidR="008B267C" w:rsidRPr="00AF3426" w:rsidRDefault="008B267C" w:rsidP="008B267C">
      <w:pPr>
        <w:pStyle w:val="NormalWeb"/>
        <w:rPr>
          <w:rFonts w:ascii="Arial" w:hAnsi="Arial" w:cs="Arial"/>
          <w:color w:val="000000"/>
          <w:sz w:val="22"/>
          <w:szCs w:val="22"/>
        </w:rPr>
      </w:pPr>
      <w:r w:rsidRPr="00E13789">
        <w:rPr>
          <w:rFonts w:ascii="Arial" w:hAnsi="Arial" w:cs="Arial"/>
          <w:color w:val="000000"/>
          <w:sz w:val="22"/>
          <w:szCs w:val="22"/>
        </w:rPr>
        <w:t xml:space="preserve">Pampered Pets should pilot one international supply route and one automated warehouse while retaining local suppliers and manual fulfilment capability. A 10,000-trial Monte Carlo simulation estimates a 25.7% annual probability that at least one event materially endangers product quality and a 49.7% probability that at least one event materially endangers </w:t>
      </w:r>
      <w:r w:rsidRPr="00AF3426">
        <w:rPr>
          <w:rFonts w:ascii="Arial" w:hAnsi="Arial" w:cs="Arial"/>
          <w:color w:val="000000"/>
          <w:sz w:val="22"/>
          <w:szCs w:val="22"/>
        </w:rPr>
        <w:t>availability. Proposed controls reduce these estimates to 11.0% and 28.7%, respectively.</w:t>
      </w:r>
    </w:p>
    <w:p w14:paraId="3E108B14" w14:textId="23B444FC" w:rsidR="008B267C" w:rsidRPr="00AF3426" w:rsidRDefault="008B267C" w:rsidP="008B267C">
      <w:pPr>
        <w:pStyle w:val="NormalWeb"/>
        <w:rPr>
          <w:rFonts w:ascii="Arial" w:hAnsi="Arial" w:cs="Arial"/>
          <w:color w:val="000000"/>
          <w:sz w:val="22"/>
          <w:szCs w:val="22"/>
        </w:rPr>
      </w:pPr>
      <w:r w:rsidRPr="00AF3426">
        <w:rPr>
          <w:rFonts w:ascii="Arial" w:hAnsi="Arial" w:cs="Arial"/>
          <w:color w:val="000000"/>
          <w:sz w:val="22"/>
          <w:szCs w:val="22"/>
        </w:rPr>
        <w:t xml:space="preserve">These residual probabilities are too high to justify an irreversible global rollout, but they may be tolerable for a controlled pilot if Cathy’s risk tolerances are met. </w:t>
      </w:r>
      <w:r w:rsidR="00AF3426" w:rsidRPr="00AF3426">
        <w:rPr>
          <w:rFonts w:ascii="Arial" w:hAnsi="Arial" w:cs="Arial"/>
          <w:color w:val="000000"/>
          <w:sz w:val="22"/>
          <w:szCs w:val="22"/>
        </w:rPr>
        <w:t>The figures are scenarios; no defect, delay, outage or demand history is available.</w:t>
      </w:r>
      <w:r w:rsidR="00AF3426">
        <w:rPr>
          <w:rFonts w:ascii="Arial" w:hAnsi="Arial" w:cs="Arial"/>
          <w:color w:val="000000"/>
          <w:sz w:val="22"/>
          <w:szCs w:val="22"/>
        </w:rPr>
        <w:t xml:space="preserve"> </w:t>
      </w:r>
      <w:r w:rsidRPr="00AF3426">
        <w:rPr>
          <w:rFonts w:ascii="Arial" w:hAnsi="Arial" w:cs="Arial"/>
          <w:color w:val="000000"/>
          <w:sz w:val="22"/>
          <w:szCs w:val="22"/>
        </w:rPr>
        <w:t>Their purpose is to expose assumptions, compare controls and determine what evidence is required before further investment. UK GDPR transfer compliance and PCI DSS controls must be completed before any personal or payment data is processed, including the first international order.</w:t>
      </w:r>
    </w:p>
    <w:p w14:paraId="1BB44813" w14:textId="77777777" w:rsidR="008B267C" w:rsidRPr="00E13789" w:rsidRDefault="008B267C" w:rsidP="008B267C">
      <w:pPr>
        <w:pStyle w:val="NormalWeb"/>
        <w:numPr>
          <w:ilvl w:val="0"/>
          <w:numId w:val="7"/>
        </w:numPr>
        <w:rPr>
          <w:rFonts w:ascii="Arial" w:hAnsi="Arial" w:cs="Arial"/>
          <w:b/>
          <w:bCs/>
          <w:color w:val="000000"/>
          <w:sz w:val="22"/>
          <w:szCs w:val="22"/>
        </w:rPr>
      </w:pPr>
      <w:r w:rsidRPr="00E13789">
        <w:rPr>
          <w:rFonts w:ascii="Arial" w:hAnsi="Arial" w:cs="Arial"/>
          <w:b/>
          <w:bCs/>
          <w:color w:val="000000"/>
          <w:sz w:val="22"/>
          <w:szCs w:val="22"/>
        </w:rPr>
        <w:t>Quantitative method and results</w:t>
      </w:r>
    </w:p>
    <w:p w14:paraId="6E3DB127" w14:textId="448CAEB9"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 xml:space="preserve">Monte Carlo simulation was selected because the proposed model contains uncertain operational, supply-chain and technical inputs. It propagates ranges rather than concealing uncertainty within one expected value (Eckstein and Riedmueller, 2002). However, numerical estimates must be interpreted alongside the strength of knowledge supporting them (Aven and Thekdi, 2025). Results are therefore presented as ranges and sensitivities rather than objective forecasts. </w:t>
      </w:r>
    </w:p>
    <w:p w14:paraId="4FC22478"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The model covers one operating year and separates hazard occurrence from escalation into material harm. For event i:</w:t>
      </w:r>
    </w:p>
    <w:p w14:paraId="65FE00CF"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pᵢ = min(1, Oᵢ × Eᵢ × S)</w:t>
      </w:r>
    </w:p>
    <w:p w14:paraId="5C71F0A5"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Oᵢ represents annual occurrence, Eᵢ represents conditional escalation and S is a shared stress factor defined as Triangular(0.80, 1.00, 1.25). Conditional on S, portfolio exposure is:</w:t>
      </w:r>
    </w:p>
    <w:p w14:paraId="1A29D5EA"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P(at least one material event) = 1 − ∏(1 − pᵢ)</w:t>
      </w:r>
    </w:p>
    <w:p w14:paraId="52004208"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Triangular distributions represent low, most-likely and high judgements because the case provides insufficient data for fitted distributions. The shared factor introduces positive dependence during an adverse year. Controls reduce escalation rather than assuming hazards disappear. A customs delay may still occur, but safety stock and alternative suppliers reduce its probability of becoming a shortage.</w:t>
      </w:r>
    </w:p>
    <w:p w14:paraId="19BF553D" w14:textId="77777777" w:rsidR="008157F0" w:rsidRPr="008157F0" w:rsidRDefault="008157F0" w:rsidP="008B267C">
      <w:pPr>
        <w:pStyle w:val="NormalWeb"/>
        <w:rPr>
          <w:rFonts w:ascii="Arial" w:hAnsi="Arial" w:cs="Arial"/>
          <w:color w:val="000000"/>
          <w:sz w:val="22"/>
          <w:szCs w:val="22"/>
        </w:rPr>
      </w:pPr>
      <w:r w:rsidRPr="008157F0">
        <w:rPr>
          <w:rFonts w:ascii="Arial" w:hAnsi="Arial" w:cs="Arial"/>
          <w:color w:val="000000"/>
          <w:sz w:val="22"/>
          <w:szCs w:val="22"/>
        </w:rPr>
        <w:t>Inputs are structured judgements from the case and module literature, not industry frequencies. The workbook runs 10,000 trials with fresh random draws and reports one-decimal results. It is stored as “Pampered_Pets_Quantitative_Risk_Model.xlsx” in the accessible MSc-Cybersecurity-</w:t>
      </w:r>
      <w:proofErr w:type="spellStart"/>
      <w:r w:rsidRPr="008157F0">
        <w:rPr>
          <w:rFonts w:ascii="Arial" w:hAnsi="Arial" w:cs="Arial"/>
          <w:color w:val="000000"/>
          <w:sz w:val="22"/>
          <w:szCs w:val="22"/>
        </w:rPr>
        <w:t>ePortfolio</w:t>
      </w:r>
      <w:proofErr w:type="spellEnd"/>
      <w:r w:rsidRPr="008157F0">
        <w:rPr>
          <w:rFonts w:ascii="Arial" w:hAnsi="Arial" w:cs="Arial"/>
          <w:color w:val="000000"/>
          <w:sz w:val="22"/>
          <w:szCs w:val="22"/>
        </w:rPr>
        <w:t xml:space="preserve"> GitHub repository. P10–P90 represents input uncertainty, not a confidence interval from observed data.</w:t>
      </w:r>
    </w:p>
    <w:p w14:paraId="55EE1F93" w14:textId="6A74B136"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The estimated annual probability of at least one material quality event is 25.7% (P10–P90: 20.8–30.8%), reducing to 11.0% (8.5–13.8%) after controls. Availability exposure is 49.7% (42.1–57.5%), reducing to 28.7% (22.9–34.7%).</w:t>
      </w:r>
    </w:p>
    <w:p w14:paraId="2B3E3447"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lastRenderedPageBreak/>
        <w:t>Sensitivity analysis provides the clearest priorities. Scale-driven release error has the strongest association with residual quality exposure (Spearman’s ρ = 0.59), followed by storage excursion (ρ = 0.48). International supplier failure leads availability exposure (ρ = 0.58), followed by forecast-driven stockout (ρ = 0.52) and freight or customs disruption (ρ = 0.51). A programme focused only on technology would therefore misallocate resources.</w:t>
      </w:r>
    </w:p>
    <w:p w14:paraId="0C685486" w14:textId="77777777" w:rsidR="008B267C" w:rsidRPr="00E13789" w:rsidRDefault="008B267C" w:rsidP="008B267C">
      <w:pPr>
        <w:pStyle w:val="NormalWeb"/>
        <w:rPr>
          <w:rFonts w:ascii="Arial" w:hAnsi="Arial" w:cs="Arial"/>
          <w:b/>
          <w:bCs/>
          <w:color w:val="000000"/>
          <w:sz w:val="22"/>
          <w:szCs w:val="22"/>
        </w:rPr>
      </w:pPr>
      <w:r w:rsidRPr="00E13789">
        <w:rPr>
          <w:rFonts w:ascii="Arial" w:hAnsi="Arial" w:cs="Arial"/>
          <w:b/>
          <w:bCs/>
          <w:color w:val="000000"/>
          <w:sz w:val="22"/>
          <w:szCs w:val="22"/>
        </w:rPr>
        <w:t>Model inputs</w:t>
      </w:r>
    </w:p>
    <w:p w14:paraId="197F4C28"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L/M/H = low/most likely/high triangular inputs.</w:t>
      </w:r>
    </w:p>
    <w:tbl>
      <w:tblPr>
        <w:tblStyle w:val="TableGrid"/>
        <w:tblW w:w="0" w:type="auto"/>
        <w:tblLook w:val="04A0" w:firstRow="1" w:lastRow="0" w:firstColumn="1" w:lastColumn="0" w:noHBand="0" w:noVBand="1"/>
      </w:tblPr>
      <w:tblGrid>
        <w:gridCol w:w="1904"/>
        <w:gridCol w:w="1730"/>
        <w:gridCol w:w="2075"/>
        <w:gridCol w:w="2031"/>
        <w:gridCol w:w="1276"/>
      </w:tblGrid>
      <w:tr w:rsidR="008B267C" w:rsidRPr="00E13789" w14:paraId="07ECD807" w14:textId="77777777" w:rsidTr="00E13789">
        <w:tc>
          <w:tcPr>
            <w:tcW w:w="0" w:type="auto"/>
            <w:hideMark/>
          </w:tcPr>
          <w:p w14:paraId="43996C34" w14:textId="77777777" w:rsidR="008B267C" w:rsidRPr="00E13789" w:rsidRDefault="008B267C">
            <w:pPr>
              <w:jc w:val="center"/>
              <w:rPr>
                <w:rFonts w:ascii="Arial" w:hAnsi="Arial" w:cs="Arial"/>
                <w:b/>
                <w:bCs/>
                <w:color w:val="000000"/>
                <w:sz w:val="22"/>
                <w:szCs w:val="22"/>
              </w:rPr>
            </w:pPr>
            <w:r w:rsidRPr="00E13789">
              <w:rPr>
                <w:rFonts w:ascii="Arial" w:hAnsi="Arial" w:cs="Arial"/>
                <w:b/>
                <w:bCs/>
                <w:color w:val="000000"/>
                <w:sz w:val="22"/>
                <w:szCs w:val="22"/>
              </w:rPr>
              <w:t>Event</w:t>
            </w:r>
          </w:p>
        </w:tc>
        <w:tc>
          <w:tcPr>
            <w:tcW w:w="0" w:type="auto"/>
            <w:hideMark/>
          </w:tcPr>
          <w:p w14:paraId="6FD8E047" w14:textId="77777777" w:rsidR="008B267C" w:rsidRPr="00E13789" w:rsidRDefault="008B267C">
            <w:pPr>
              <w:jc w:val="center"/>
              <w:rPr>
                <w:rFonts w:ascii="Arial" w:hAnsi="Arial" w:cs="Arial"/>
                <w:b/>
                <w:bCs/>
                <w:color w:val="000000"/>
                <w:sz w:val="22"/>
                <w:szCs w:val="22"/>
              </w:rPr>
            </w:pPr>
            <w:r w:rsidRPr="00E13789">
              <w:rPr>
                <w:rFonts w:ascii="Arial" w:hAnsi="Arial" w:cs="Arial"/>
                <w:b/>
                <w:bCs/>
                <w:color w:val="000000"/>
                <w:sz w:val="22"/>
                <w:szCs w:val="22"/>
              </w:rPr>
              <w:t>Occurrence L/M/H</w:t>
            </w:r>
          </w:p>
        </w:tc>
        <w:tc>
          <w:tcPr>
            <w:tcW w:w="0" w:type="auto"/>
            <w:hideMark/>
          </w:tcPr>
          <w:p w14:paraId="6E20F861" w14:textId="77777777" w:rsidR="008B267C" w:rsidRPr="00E13789" w:rsidRDefault="008B267C">
            <w:pPr>
              <w:jc w:val="center"/>
              <w:rPr>
                <w:rFonts w:ascii="Arial" w:hAnsi="Arial" w:cs="Arial"/>
                <w:b/>
                <w:bCs/>
                <w:color w:val="000000"/>
                <w:sz w:val="22"/>
                <w:szCs w:val="22"/>
              </w:rPr>
            </w:pPr>
            <w:r w:rsidRPr="00E13789">
              <w:rPr>
                <w:rFonts w:ascii="Arial" w:hAnsi="Arial" w:cs="Arial"/>
                <w:b/>
                <w:bCs/>
                <w:color w:val="000000"/>
                <w:sz w:val="22"/>
                <w:szCs w:val="22"/>
              </w:rPr>
              <w:t>Escalation before controls L/M/H</w:t>
            </w:r>
          </w:p>
        </w:tc>
        <w:tc>
          <w:tcPr>
            <w:tcW w:w="0" w:type="auto"/>
            <w:hideMark/>
          </w:tcPr>
          <w:p w14:paraId="01E5935C" w14:textId="77777777" w:rsidR="008B267C" w:rsidRPr="00E13789" w:rsidRDefault="008B267C">
            <w:pPr>
              <w:jc w:val="center"/>
              <w:rPr>
                <w:rFonts w:ascii="Arial" w:hAnsi="Arial" w:cs="Arial"/>
                <w:b/>
                <w:bCs/>
                <w:color w:val="000000"/>
                <w:sz w:val="22"/>
                <w:szCs w:val="22"/>
              </w:rPr>
            </w:pPr>
            <w:r w:rsidRPr="00E13789">
              <w:rPr>
                <w:rFonts w:ascii="Arial" w:hAnsi="Arial" w:cs="Arial"/>
                <w:b/>
                <w:bCs/>
                <w:color w:val="000000"/>
                <w:sz w:val="22"/>
                <w:szCs w:val="22"/>
              </w:rPr>
              <w:t>Escalation after controls L/M/H</w:t>
            </w:r>
          </w:p>
        </w:tc>
        <w:tc>
          <w:tcPr>
            <w:tcW w:w="0" w:type="auto"/>
            <w:hideMark/>
          </w:tcPr>
          <w:p w14:paraId="5F52D61C" w14:textId="77777777" w:rsidR="008B267C" w:rsidRPr="00E13789" w:rsidRDefault="008B267C">
            <w:pPr>
              <w:jc w:val="center"/>
              <w:rPr>
                <w:rFonts w:ascii="Arial" w:hAnsi="Arial" w:cs="Arial"/>
                <w:b/>
                <w:bCs/>
                <w:color w:val="000000"/>
                <w:sz w:val="22"/>
                <w:szCs w:val="22"/>
              </w:rPr>
            </w:pPr>
            <w:r w:rsidRPr="00E13789">
              <w:rPr>
                <w:rFonts w:ascii="Arial" w:hAnsi="Arial" w:cs="Arial"/>
                <w:b/>
                <w:bCs/>
                <w:color w:val="000000"/>
                <w:sz w:val="22"/>
                <w:szCs w:val="22"/>
              </w:rPr>
              <w:t>Residual mean</w:t>
            </w:r>
          </w:p>
        </w:tc>
      </w:tr>
      <w:tr w:rsidR="008B267C" w:rsidRPr="00E13789" w14:paraId="686ECBB2" w14:textId="77777777" w:rsidTr="00E13789">
        <w:tc>
          <w:tcPr>
            <w:tcW w:w="0" w:type="auto"/>
            <w:hideMark/>
          </w:tcPr>
          <w:p w14:paraId="2428459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Scale-driven release error</w:t>
            </w:r>
          </w:p>
        </w:tc>
        <w:tc>
          <w:tcPr>
            <w:tcW w:w="0" w:type="auto"/>
            <w:hideMark/>
          </w:tcPr>
          <w:p w14:paraId="3802321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0.10/0.20/0.35</w:t>
            </w:r>
          </w:p>
        </w:tc>
        <w:tc>
          <w:tcPr>
            <w:tcW w:w="0" w:type="auto"/>
            <w:hideMark/>
          </w:tcPr>
          <w:p w14:paraId="47481802"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0.15/0.30/0.50</w:t>
            </w:r>
          </w:p>
        </w:tc>
        <w:tc>
          <w:tcPr>
            <w:tcW w:w="0" w:type="auto"/>
            <w:hideMark/>
          </w:tcPr>
          <w:p w14:paraId="33CDF066"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0.05/0.12/0.25</w:t>
            </w:r>
          </w:p>
        </w:tc>
        <w:tc>
          <w:tcPr>
            <w:tcW w:w="0" w:type="auto"/>
            <w:hideMark/>
          </w:tcPr>
          <w:p w14:paraId="7E8C5391"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3.1%</w:t>
            </w:r>
          </w:p>
        </w:tc>
      </w:tr>
      <w:tr w:rsidR="008B267C" w:rsidRPr="00E13789" w14:paraId="147AFC69" w14:textId="77777777" w:rsidTr="00E13789">
        <w:tc>
          <w:tcPr>
            <w:tcW w:w="0" w:type="auto"/>
            <w:hideMark/>
          </w:tcPr>
          <w:p w14:paraId="7D896CC3"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Supplier non-conformance</w:t>
            </w:r>
          </w:p>
        </w:tc>
        <w:tc>
          <w:tcPr>
            <w:tcW w:w="0" w:type="auto"/>
            <w:hideMark/>
          </w:tcPr>
          <w:p w14:paraId="1C1E73C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0.10/0.18/0.30</w:t>
            </w:r>
          </w:p>
        </w:tc>
        <w:tc>
          <w:tcPr>
            <w:tcW w:w="0" w:type="auto"/>
            <w:hideMark/>
          </w:tcPr>
          <w:p w14:paraId="574C1ADE"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0.15/0.28/0.45</w:t>
            </w:r>
          </w:p>
        </w:tc>
        <w:tc>
          <w:tcPr>
            <w:tcW w:w="0" w:type="auto"/>
            <w:hideMark/>
          </w:tcPr>
          <w:p w14:paraId="1DAF895F"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0.05/0.10/0.20</w:t>
            </w:r>
          </w:p>
        </w:tc>
        <w:tc>
          <w:tcPr>
            <w:tcW w:w="0" w:type="auto"/>
            <w:hideMark/>
          </w:tcPr>
          <w:p w14:paraId="7235C95D"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2.3%</w:t>
            </w:r>
          </w:p>
        </w:tc>
      </w:tr>
      <w:tr w:rsidR="008B267C" w:rsidRPr="00E13789" w14:paraId="0F59D43F" w14:textId="77777777" w:rsidTr="00E13789">
        <w:tc>
          <w:tcPr>
            <w:tcW w:w="0" w:type="auto"/>
            <w:hideMark/>
          </w:tcPr>
          <w:p w14:paraId="4D31F2C7"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Storage excursion</w:t>
            </w:r>
          </w:p>
        </w:tc>
        <w:tc>
          <w:tcPr>
            <w:tcW w:w="0" w:type="auto"/>
            <w:hideMark/>
          </w:tcPr>
          <w:p w14:paraId="103BA3B2"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0.08/0.15/0.25</w:t>
            </w:r>
          </w:p>
        </w:tc>
        <w:tc>
          <w:tcPr>
            <w:tcW w:w="0" w:type="auto"/>
            <w:hideMark/>
          </w:tcPr>
          <w:p w14:paraId="5B03B09D"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0.20/0.35/0.55</w:t>
            </w:r>
          </w:p>
        </w:tc>
        <w:tc>
          <w:tcPr>
            <w:tcW w:w="0" w:type="auto"/>
            <w:hideMark/>
          </w:tcPr>
          <w:p w14:paraId="379B65C8"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0.05/0.12/0.25</w:t>
            </w:r>
          </w:p>
        </w:tc>
        <w:tc>
          <w:tcPr>
            <w:tcW w:w="0" w:type="auto"/>
            <w:hideMark/>
          </w:tcPr>
          <w:p w14:paraId="5F9C6EF7"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2.3%</w:t>
            </w:r>
          </w:p>
        </w:tc>
      </w:tr>
      <w:tr w:rsidR="008B267C" w:rsidRPr="00E13789" w14:paraId="3E1412F8" w14:textId="77777777" w:rsidTr="00E13789">
        <w:tc>
          <w:tcPr>
            <w:tcW w:w="0" w:type="auto"/>
            <w:hideMark/>
          </w:tcPr>
          <w:p w14:paraId="0430388D"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Automation or master-data error</w:t>
            </w:r>
          </w:p>
        </w:tc>
        <w:tc>
          <w:tcPr>
            <w:tcW w:w="0" w:type="auto"/>
            <w:hideMark/>
          </w:tcPr>
          <w:p w14:paraId="48F62D86"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0.08/0.14/0.24</w:t>
            </w:r>
          </w:p>
        </w:tc>
        <w:tc>
          <w:tcPr>
            <w:tcW w:w="0" w:type="auto"/>
            <w:hideMark/>
          </w:tcPr>
          <w:p w14:paraId="273D3F47"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0.20/0.38/0.60</w:t>
            </w:r>
          </w:p>
        </w:tc>
        <w:tc>
          <w:tcPr>
            <w:tcW w:w="0" w:type="auto"/>
            <w:hideMark/>
          </w:tcPr>
          <w:p w14:paraId="73B15936"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0.05/0.12/0.25</w:t>
            </w:r>
          </w:p>
        </w:tc>
        <w:tc>
          <w:tcPr>
            <w:tcW w:w="0" w:type="auto"/>
            <w:hideMark/>
          </w:tcPr>
          <w:p w14:paraId="75B86553"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2.2%</w:t>
            </w:r>
          </w:p>
        </w:tc>
      </w:tr>
      <w:tr w:rsidR="008B267C" w:rsidRPr="00E13789" w14:paraId="68015F61" w14:textId="77777777" w:rsidTr="00E13789">
        <w:tc>
          <w:tcPr>
            <w:tcW w:w="0" w:type="auto"/>
            <w:hideMark/>
          </w:tcPr>
          <w:p w14:paraId="23288AA3"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Cyber integrity failure</w:t>
            </w:r>
          </w:p>
        </w:tc>
        <w:tc>
          <w:tcPr>
            <w:tcW w:w="0" w:type="auto"/>
            <w:hideMark/>
          </w:tcPr>
          <w:p w14:paraId="655B612F"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0.03/0.07/0.15</w:t>
            </w:r>
          </w:p>
        </w:tc>
        <w:tc>
          <w:tcPr>
            <w:tcW w:w="0" w:type="auto"/>
            <w:hideMark/>
          </w:tcPr>
          <w:p w14:paraId="7DAC3D5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0.25/0.45/0.70</w:t>
            </w:r>
          </w:p>
        </w:tc>
        <w:tc>
          <w:tcPr>
            <w:tcW w:w="0" w:type="auto"/>
            <w:hideMark/>
          </w:tcPr>
          <w:p w14:paraId="53B9F058"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0.08/0.18/0.35</w:t>
            </w:r>
          </w:p>
        </w:tc>
        <w:tc>
          <w:tcPr>
            <w:tcW w:w="0" w:type="auto"/>
            <w:hideMark/>
          </w:tcPr>
          <w:p w14:paraId="1F465396"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1.7%</w:t>
            </w:r>
          </w:p>
        </w:tc>
      </w:tr>
      <w:tr w:rsidR="008B267C" w:rsidRPr="00E13789" w14:paraId="021A29F0" w14:textId="77777777" w:rsidTr="00E13789">
        <w:tc>
          <w:tcPr>
            <w:tcW w:w="0" w:type="auto"/>
            <w:hideMark/>
          </w:tcPr>
          <w:p w14:paraId="17B50DCB"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International supplier failure</w:t>
            </w:r>
          </w:p>
        </w:tc>
        <w:tc>
          <w:tcPr>
            <w:tcW w:w="0" w:type="auto"/>
            <w:hideMark/>
          </w:tcPr>
          <w:p w14:paraId="17DEDA66"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0.20/0.35/0.55</w:t>
            </w:r>
          </w:p>
        </w:tc>
        <w:tc>
          <w:tcPr>
            <w:tcW w:w="0" w:type="auto"/>
            <w:hideMark/>
          </w:tcPr>
          <w:p w14:paraId="5B6D30A1"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0.30/0.50/0.70</w:t>
            </w:r>
          </w:p>
        </w:tc>
        <w:tc>
          <w:tcPr>
            <w:tcW w:w="0" w:type="auto"/>
            <w:hideMark/>
          </w:tcPr>
          <w:p w14:paraId="06EF6576"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0.10/0.22/0.40</w:t>
            </w:r>
          </w:p>
        </w:tc>
        <w:tc>
          <w:tcPr>
            <w:tcW w:w="0" w:type="auto"/>
            <w:hideMark/>
          </w:tcPr>
          <w:p w14:paraId="29141298"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9.0%</w:t>
            </w:r>
          </w:p>
        </w:tc>
      </w:tr>
      <w:tr w:rsidR="008B267C" w:rsidRPr="00E13789" w14:paraId="347558A5" w14:textId="77777777" w:rsidTr="00E13789">
        <w:tc>
          <w:tcPr>
            <w:tcW w:w="0" w:type="auto"/>
            <w:hideMark/>
          </w:tcPr>
          <w:p w14:paraId="40C79210"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Freight or customs disruption</w:t>
            </w:r>
          </w:p>
        </w:tc>
        <w:tc>
          <w:tcPr>
            <w:tcW w:w="0" w:type="auto"/>
            <w:hideMark/>
          </w:tcPr>
          <w:p w14:paraId="433B3A4B"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0.18/0.32/0.50</w:t>
            </w:r>
          </w:p>
        </w:tc>
        <w:tc>
          <w:tcPr>
            <w:tcW w:w="0" w:type="auto"/>
            <w:hideMark/>
          </w:tcPr>
          <w:p w14:paraId="52382EDB"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0.25/0.45/0.65</w:t>
            </w:r>
          </w:p>
        </w:tc>
        <w:tc>
          <w:tcPr>
            <w:tcW w:w="0" w:type="auto"/>
            <w:hideMark/>
          </w:tcPr>
          <w:p w14:paraId="506A58B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0.10/0.22/0.38</w:t>
            </w:r>
          </w:p>
        </w:tc>
        <w:tc>
          <w:tcPr>
            <w:tcW w:w="0" w:type="auto"/>
            <w:hideMark/>
          </w:tcPr>
          <w:p w14:paraId="1AD9E6BB"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7.9%</w:t>
            </w:r>
          </w:p>
        </w:tc>
      </w:tr>
      <w:tr w:rsidR="008B267C" w:rsidRPr="00E13789" w14:paraId="72F06D52" w14:textId="77777777" w:rsidTr="00E13789">
        <w:tc>
          <w:tcPr>
            <w:tcW w:w="0" w:type="auto"/>
            <w:hideMark/>
          </w:tcPr>
          <w:p w14:paraId="14D67B13"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Forecast-driven stockout</w:t>
            </w:r>
          </w:p>
        </w:tc>
        <w:tc>
          <w:tcPr>
            <w:tcW w:w="0" w:type="auto"/>
            <w:hideMark/>
          </w:tcPr>
          <w:p w14:paraId="033C462C"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0.15/0.28/0.45</w:t>
            </w:r>
          </w:p>
        </w:tc>
        <w:tc>
          <w:tcPr>
            <w:tcW w:w="0" w:type="auto"/>
            <w:hideMark/>
          </w:tcPr>
          <w:p w14:paraId="3A5CB74A"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0.25/0.42/0.62</w:t>
            </w:r>
          </w:p>
        </w:tc>
        <w:tc>
          <w:tcPr>
            <w:tcW w:w="0" w:type="auto"/>
            <w:hideMark/>
          </w:tcPr>
          <w:p w14:paraId="11F0594C"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0.10/0.25/0.42</w:t>
            </w:r>
          </w:p>
        </w:tc>
        <w:tc>
          <w:tcPr>
            <w:tcW w:w="0" w:type="auto"/>
            <w:hideMark/>
          </w:tcPr>
          <w:p w14:paraId="4C9E60B2"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7.7%</w:t>
            </w:r>
          </w:p>
        </w:tc>
      </w:tr>
      <w:tr w:rsidR="008B267C" w:rsidRPr="00E13789" w14:paraId="0C9C0045" w14:textId="77777777" w:rsidTr="00E13789">
        <w:tc>
          <w:tcPr>
            <w:tcW w:w="0" w:type="auto"/>
            <w:hideMark/>
          </w:tcPr>
          <w:p w14:paraId="0C9EC8C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Automated-warehouse outage</w:t>
            </w:r>
          </w:p>
        </w:tc>
        <w:tc>
          <w:tcPr>
            <w:tcW w:w="0" w:type="auto"/>
            <w:hideMark/>
          </w:tcPr>
          <w:p w14:paraId="4288E949"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0.10/0.20/0.35</w:t>
            </w:r>
          </w:p>
        </w:tc>
        <w:tc>
          <w:tcPr>
            <w:tcW w:w="0" w:type="auto"/>
            <w:hideMark/>
          </w:tcPr>
          <w:p w14:paraId="196A6672"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0.30/0.50/0.70</w:t>
            </w:r>
          </w:p>
        </w:tc>
        <w:tc>
          <w:tcPr>
            <w:tcW w:w="0" w:type="auto"/>
            <w:hideMark/>
          </w:tcPr>
          <w:p w14:paraId="21E8DD7C"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0.10/0.25/0.45</w:t>
            </w:r>
          </w:p>
        </w:tc>
        <w:tc>
          <w:tcPr>
            <w:tcW w:w="0" w:type="auto"/>
            <w:hideMark/>
          </w:tcPr>
          <w:p w14:paraId="7D85AF1E"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5.9%</w:t>
            </w:r>
          </w:p>
        </w:tc>
      </w:tr>
      <w:tr w:rsidR="008B267C" w:rsidRPr="00E13789" w14:paraId="1EA9F4D3" w14:textId="77777777" w:rsidTr="00E13789">
        <w:tc>
          <w:tcPr>
            <w:tcW w:w="0" w:type="auto"/>
            <w:hideMark/>
          </w:tcPr>
          <w:p w14:paraId="57C31FF8"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Cyber or cloud interruption</w:t>
            </w:r>
          </w:p>
        </w:tc>
        <w:tc>
          <w:tcPr>
            <w:tcW w:w="0" w:type="auto"/>
            <w:hideMark/>
          </w:tcPr>
          <w:p w14:paraId="73AE632E"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0.05/0.11/0.22</w:t>
            </w:r>
          </w:p>
        </w:tc>
        <w:tc>
          <w:tcPr>
            <w:tcW w:w="0" w:type="auto"/>
            <w:hideMark/>
          </w:tcPr>
          <w:p w14:paraId="041FBFBF"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0.25/0.45/0.70</w:t>
            </w:r>
          </w:p>
        </w:tc>
        <w:tc>
          <w:tcPr>
            <w:tcW w:w="0" w:type="auto"/>
            <w:hideMark/>
          </w:tcPr>
          <w:p w14:paraId="510BA261"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0.05/0.15/0.30</w:t>
            </w:r>
          </w:p>
        </w:tc>
        <w:tc>
          <w:tcPr>
            <w:tcW w:w="0" w:type="auto"/>
            <w:hideMark/>
          </w:tcPr>
          <w:p w14:paraId="46615295" w14:textId="77777777" w:rsidR="008B267C" w:rsidRPr="00E13789" w:rsidRDefault="008B267C">
            <w:pPr>
              <w:rPr>
                <w:rFonts w:ascii="Arial" w:hAnsi="Arial" w:cs="Arial"/>
                <w:color w:val="000000"/>
                <w:sz w:val="22"/>
                <w:szCs w:val="22"/>
              </w:rPr>
            </w:pPr>
            <w:r w:rsidRPr="00E13789">
              <w:rPr>
                <w:rFonts w:ascii="Arial" w:hAnsi="Arial" w:cs="Arial"/>
                <w:color w:val="000000"/>
                <w:sz w:val="22"/>
                <w:szCs w:val="22"/>
              </w:rPr>
              <w:t>2.1%</w:t>
            </w:r>
          </w:p>
        </w:tc>
      </w:tr>
    </w:tbl>
    <w:p w14:paraId="7921FC32"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The model simplifies compound failure. A customs delay may cause a storage excursion, while one cloud incident may affect several warehouses. Conditional independence after one shared factor may understate tail risk. Conversely, effective quarantine could make the model overstate customer harm. The estimates should govern staged decisions rather than be treated as promises.</w:t>
      </w:r>
    </w:p>
    <w:p w14:paraId="27D4F730"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No benchmark establishes that residual probabilities of 11.0% and 28.7% are acceptable. Cathy must define tolerances through customer harm, lost contribution margin, recovery time and reputational damage. After three and six months, assumptions should be updated using rejected lots, environmental alarms, forecast errors, downtime and security incidents. For example, x rejected lots from n deliveries can update a Beta(α, β) prior to Beta(α + x, β + n − x).</w:t>
      </w:r>
    </w:p>
    <w:p w14:paraId="301BAB01" w14:textId="77777777" w:rsidR="008B267C" w:rsidRPr="00E13789" w:rsidRDefault="008B267C" w:rsidP="008B267C">
      <w:pPr>
        <w:pStyle w:val="NormalWeb"/>
        <w:numPr>
          <w:ilvl w:val="0"/>
          <w:numId w:val="8"/>
        </w:numPr>
        <w:rPr>
          <w:rFonts w:ascii="Arial" w:hAnsi="Arial" w:cs="Arial"/>
          <w:b/>
          <w:bCs/>
          <w:color w:val="000000"/>
          <w:sz w:val="22"/>
          <w:szCs w:val="22"/>
        </w:rPr>
      </w:pPr>
      <w:r w:rsidRPr="00E13789">
        <w:rPr>
          <w:rFonts w:ascii="Arial" w:hAnsi="Arial" w:cs="Arial"/>
          <w:b/>
          <w:bCs/>
          <w:color w:val="000000"/>
          <w:sz w:val="22"/>
          <w:szCs w:val="22"/>
        </w:rPr>
        <w:t>Quality and supply continuity</w:t>
      </w:r>
    </w:p>
    <w:p w14:paraId="307C128A"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 xml:space="preserve">Quality governance must precede growth. A Product Integrity Lead should define ingredient, allergen, labelling and storage specifications; quarantine unmatched lots; require </w:t>
      </w:r>
      <w:r w:rsidRPr="00E13789">
        <w:rPr>
          <w:rFonts w:ascii="Arial" w:hAnsi="Arial" w:cs="Arial"/>
          <w:color w:val="000000"/>
          <w:sz w:val="22"/>
          <w:szCs w:val="22"/>
        </w:rPr>
        <w:lastRenderedPageBreak/>
        <w:t>independent release approval; protect safety-critical master data; and preserve genealogy from supplier lot to customer order. Each warehouse must pass a timed mock recall before processing live orders. Automation improves consistency only when its source data are accurate; otherwise, it distributes one error efficiently.</w:t>
      </w:r>
    </w:p>
    <w:p w14:paraId="22E0156C"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Critical ingredients require two approved, geographically separate suppliers, including a local fallback. International bids should be evaluated using total landed cost, including freight, duties, currency exposure, inspection, rejected lots, working capital and disruption. No warehouse should hold the only stock of a critical product. Each site also requires local spares and a tested manual pick-and-pack mode.</w:t>
      </w:r>
    </w:p>
    <w:p w14:paraId="09A2892F" w14:textId="0619C088" w:rsidR="008B267C" w:rsidRPr="00AF4DF0" w:rsidRDefault="008B267C" w:rsidP="008B267C">
      <w:pPr>
        <w:pStyle w:val="NormalWeb"/>
        <w:rPr>
          <w:rFonts w:ascii="Arial" w:hAnsi="Arial" w:cs="Arial"/>
          <w:color w:val="000000"/>
          <w:sz w:val="22"/>
          <w:szCs w:val="22"/>
        </w:rPr>
      </w:pPr>
      <w:r w:rsidRPr="00AF4DF0">
        <w:rPr>
          <w:rFonts w:ascii="Arial" w:hAnsi="Arial" w:cs="Arial"/>
          <w:color w:val="000000"/>
          <w:sz w:val="22"/>
          <w:szCs w:val="22"/>
        </w:rPr>
        <w:t xml:space="preserve">A limited pilot preserves the option to expand, redesign or abandon the transformation as evidence develops, applying options-based reasoning to investment under uncertainty </w:t>
      </w:r>
      <w:r w:rsidR="00AF4DF0" w:rsidRPr="00AF4DF0">
        <w:rPr>
          <w:rFonts w:ascii="Arial" w:hAnsi="Arial" w:cs="Arial"/>
          <w:color w:val="000000"/>
          <w:sz w:val="22"/>
          <w:szCs w:val="22"/>
        </w:rPr>
        <w:t>(Pineiro-Chousa et al., 2017)</w:t>
      </w:r>
      <w:r w:rsidR="00AF4DF0" w:rsidRPr="00AF4DF0">
        <w:rPr>
          <w:rFonts w:ascii="Arial" w:hAnsi="Arial" w:cs="Arial"/>
          <w:color w:val="000000"/>
          <w:sz w:val="22"/>
          <w:szCs w:val="22"/>
        </w:rPr>
        <w:t>.</w:t>
      </w:r>
      <w:r w:rsidR="00AF4DF0" w:rsidRPr="00AF4DF0">
        <w:rPr>
          <w:rFonts w:ascii="-webkit-standard" w:hAnsi="-webkit-standard"/>
          <w:color w:val="000000"/>
          <w:sz w:val="22"/>
          <w:szCs w:val="22"/>
        </w:rPr>
        <w:t xml:space="preserve"> </w:t>
      </w:r>
      <w:r w:rsidRPr="00AF4DF0">
        <w:rPr>
          <w:rFonts w:ascii="Arial" w:hAnsi="Arial" w:cs="Arial"/>
          <w:color w:val="000000"/>
          <w:sz w:val="22"/>
          <w:szCs w:val="22"/>
        </w:rPr>
        <w:t>Forecast bias and managerial responses may amplify supply-chain variability, making weekly review and independent challenge substantive controls rather than administration (Fahimnia et al., 2019).</w:t>
      </w:r>
    </w:p>
    <w:p w14:paraId="6A928FDF" w14:textId="323E616D" w:rsidR="00E13789" w:rsidRPr="00E13789" w:rsidRDefault="00E13789" w:rsidP="008B267C">
      <w:pPr>
        <w:pStyle w:val="NormalWeb"/>
        <w:rPr>
          <w:rFonts w:ascii="Arial" w:hAnsi="Arial" w:cs="Arial"/>
          <w:color w:val="000000"/>
          <w:sz w:val="22"/>
          <w:szCs w:val="22"/>
        </w:rPr>
      </w:pPr>
      <w:r w:rsidRPr="00E13789">
        <w:rPr>
          <w:rFonts w:ascii="Arial" w:hAnsi="Arial" w:cs="Arial"/>
          <w:color w:val="000000"/>
          <w:sz w:val="22"/>
          <w:szCs w:val="22"/>
        </w:rPr>
        <w:t>Expansion should pause automatically if monthly monitoring identifies unacceptable supplier rejection, customs delay, temperature excursion, inventory error, packing error or traceability failure.</w:t>
      </w:r>
    </w:p>
    <w:p w14:paraId="268986CB" w14:textId="77777777" w:rsidR="008B267C" w:rsidRPr="00E13789" w:rsidRDefault="008B267C" w:rsidP="008B267C">
      <w:pPr>
        <w:pStyle w:val="NormalWeb"/>
        <w:numPr>
          <w:ilvl w:val="0"/>
          <w:numId w:val="9"/>
        </w:numPr>
        <w:rPr>
          <w:rFonts w:ascii="Arial" w:hAnsi="Arial" w:cs="Arial"/>
          <w:b/>
          <w:bCs/>
          <w:color w:val="000000"/>
          <w:sz w:val="22"/>
          <w:szCs w:val="22"/>
        </w:rPr>
      </w:pPr>
      <w:r w:rsidRPr="00E13789">
        <w:rPr>
          <w:rFonts w:ascii="Arial" w:hAnsi="Arial" w:cs="Arial"/>
          <w:b/>
          <w:bCs/>
          <w:color w:val="000000"/>
          <w:sz w:val="22"/>
          <w:szCs w:val="22"/>
        </w:rPr>
        <w:t>Continuity and disaster recovery</w:t>
      </w:r>
    </w:p>
    <w:p w14:paraId="0504DCF6"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The required recovery time objective below 60 seconds and recovery point objective no greater than 60 seconds rule out backup-and-restore, pilot-light and conventional warm-standby solutions. Cloud hosting alone does not guarantee recovery; performance depends on architecture, dependencies and tested failure assumptions (Alhazmi and Malaiya, 2013; Andrade et al., 2017).</w:t>
      </w:r>
    </w:p>
    <w:p w14:paraId="269D7A39"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AWS is recommended provisionally because Global Accelerator and DynamoDB Global Tables provide an integrated combination of health-based global routing and multi-active data replication. Before procurement, Pampered Pets should complete a costed comparison against equivalent Azure and Google Cloud architectures.</w:t>
      </w:r>
    </w:p>
    <w:p w14:paraId="0266A0AC"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To meet the 24/7/365 requirement, active-active application stacks should operate concurrently across two AWS regions. Global Accelerator provides static anycast addresses and redirects new connections towards healthy regional endpoints (Amazon Web Services, n.d.-d). Each region must be deployed through version-controlled infrastructure-as-code and support the full critical workload.</w:t>
      </w:r>
    </w:p>
    <w:p w14:paraId="362E904C" w14:textId="6975BB7E" w:rsidR="008B267C" w:rsidRPr="00AF4DF0" w:rsidRDefault="008B267C" w:rsidP="008B267C">
      <w:pPr>
        <w:pStyle w:val="NormalWeb"/>
        <w:rPr>
          <w:rFonts w:ascii="Arial" w:hAnsi="Arial" w:cs="Arial"/>
          <w:color w:val="000000"/>
          <w:sz w:val="22"/>
          <w:szCs w:val="22"/>
        </w:rPr>
      </w:pPr>
      <w:r w:rsidRPr="00AF4DF0">
        <w:rPr>
          <w:rFonts w:ascii="Arial" w:hAnsi="Arial" w:cs="Arial"/>
          <w:color w:val="000000"/>
          <w:sz w:val="22"/>
          <w:szCs w:val="22"/>
        </w:rPr>
        <w:t>Global Accelerator’s default 30-second health-check interval and threshold of three</w:t>
      </w:r>
      <w:r w:rsidR="00AF4DF0" w:rsidRPr="00AF4DF0">
        <w:rPr>
          <w:rFonts w:ascii="Arial" w:hAnsi="Arial" w:cs="Arial"/>
          <w:color w:val="000000"/>
          <w:sz w:val="22"/>
          <w:szCs w:val="22"/>
        </w:rPr>
        <w:t xml:space="preserve"> </w:t>
      </w:r>
      <w:r w:rsidR="00AF4DF0" w:rsidRPr="00AF4DF0">
        <w:rPr>
          <w:rFonts w:ascii="Arial" w:hAnsi="Arial" w:cs="Arial"/>
          <w:color w:val="000000"/>
          <w:sz w:val="22"/>
          <w:szCs w:val="22"/>
        </w:rPr>
        <w:t>mean that failure detection alone could take up to approximately 90 seconds</w:t>
      </w:r>
      <w:r w:rsidR="00AF4DF0" w:rsidRPr="00AF4DF0">
        <w:rPr>
          <w:rFonts w:ascii="Arial" w:hAnsi="Arial" w:cs="Arial"/>
          <w:color w:val="000000"/>
          <w:sz w:val="22"/>
          <w:szCs w:val="22"/>
        </w:rPr>
        <w:t xml:space="preserve">, </w:t>
      </w:r>
      <w:r w:rsidRPr="00AF4DF0">
        <w:rPr>
          <w:rFonts w:ascii="Arial" w:hAnsi="Arial" w:cs="Arial"/>
          <w:color w:val="000000"/>
          <w:sz w:val="22"/>
          <w:szCs w:val="22"/>
        </w:rPr>
        <w:t>exceeding the RTO (Amazon Web Services, n.d.-a). The interval should be reduced to 10 seconds with a threshold of three, balancing detection speed against false failovers and allowing approximately 30 seconds for detection. Quarterly region-isolation testing must confirm that detection and traffic redirection together complete within 60 seconds. Testing must include order placement, payment redirection, stock reservation, warehouse instructions and customer confirmation. Failure of any dependency, or total recovery beyond 60 seconds, constitutes test failure.</w:t>
      </w:r>
    </w:p>
    <w:p w14:paraId="336274BA"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 xml:space="preserve">DynamoDB Global Tables supports multi-region, multi-active replication and low or zero RPO configurations (Amazon Web Services, n.d.-c). Eventually consistent replication can meet the 60-second RPO, but only if continuous monitoring and failover testing demonstrate compliance. CloudWatch ReplicationLatency measures the time between a write in one </w:t>
      </w:r>
      <w:r w:rsidRPr="00E13789">
        <w:rPr>
          <w:rFonts w:ascii="Arial" w:hAnsi="Arial" w:cs="Arial"/>
          <w:color w:val="000000"/>
          <w:sz w:val="22"/>
          <w:szCs w:val="22"/>
        </w:rPr>
        <w:lastRenderedPageBreak/>
        <w:t>region and its appearance in another in milliseconds (Amazon Web Services, n.d.-b). A test must fail if data loss exceeds 60 seconds or replication lag cannot be measured reliably.</w:t>
      </w:r>
    </w:p>
    <w:p w14:paraId="6324C821"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Eventual replication may briefly expose inconsistent stock values. Idempotent order identifiers prevent repeated transactions but do not resolve competing reservations. The application therefore requires reservation rules, reconciliation and a mechanism to suspend scarce products when regional consistency is uncertain. Duplicate capacity and monitoring costs must be compared with the contribution margin and reputation at risk.</w:t>
      </w:r>
    </w:p>
    <w:p w14:paraId="151E7B8C"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AWS creates lock-in through proprietary routing, databases and specialist skills. Active multi-cloud operation could introduce enough complexity to jeopardise the recovery target. A proportionate exit strategy should containerise business logic, isolate provider interfaces, retain infrastructure-as-code, export order and batch data daily in documented formats, control encryption keys, secure contractual portability and deletion, and test restoration outside production annually (Kumar, 2024).</w:t>
      </w:r>
    </w:p>
    <w:p w14:paraId="4D76705E" w14:textId="77777777" w:rsidR="008B267C" w:rsidRPr="00E13789" w:rsidRDefault="008B267C" w:rsidP="008B267C">
      <w:pPr>
        <w:pStyle w:val="NormalWeb"/>
        <w:numPr>
          <w:ilvl w:val="0"/>
          <w:numId w:val="10"/>
        </w:numPr>
        <w:rPr>
          <w:rFonts w:ascii="Arial" w:hAnsi="Arial" w:cs="Arial"/>
          <w:b/>
          <w:bCs/>
          <w:color w:val="000000"/>
          <w:sz w:val="22"/>
          <w:szCs w:val="22"/>
        </w:rPr>
      </w:pPr>
      <w:r w:rsidRPr="00E13789">
        <w:rPr>
          <w:rFonts w:ascii="Arial" w:hAnsi="Arial" w:cs="Arial"/>
          <w:b/>
          <w:bCs/>
          <w:color w:val="000000"/>
          <w:sz w:val="22"/>
          <w:szCs w:val="22"/>
        </w:rPr>
        <w:t>Security, privacy and governance</w:t>
      </w:r>
    </w:p>
    <w:p w14:paraId="53C19D10"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UK GDPR transfer compliance and payment security are mandatory launch requirements. They must be completed before any personal or payment data is processed, including the first international order.</w:t>
      </w:r>
    </w:p>
    <w:p w14:paraId="45B363A0"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The Data Protection Lead must map recipients and processing locations, document lawful purposes, minimise collection, establish retention periods, assess processors and identify the applicable adequacy arrangement, safeguard or exception for restricted transfers. A data protection impact assessment is required where tracking, profiling or automated decisions are likely to create high risk (ICO, 2026).</w:t>
      </w:r>
    </w:p>
    <w:p w14:paraId="0E01D1C9"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Payments should redirect customers to a PCI DSS-compliant provider. Outsourcing reduces card-data exposure but does not remove merchant responsibility. The acquiring bank must confirm the appropriate self-assessment route, while Pampered Pets protects the website initiating the redirect (PCI SSC, 2025).</w:t>
      </w:r>
    </w:p>
    <w:p w14:paraId="76D9CBA1"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MFA, least privilege, network segmentation, approved safety-critical changes and immutable audit logs should apply across both regions and all warehouses. Named owners remain necessary because information risk cannot simply be transferred to cloud, payment or logistics providers (Sutton, 2021).</w:t>
      </w:r>
    </w:p>
    <w:p w14:paraId="1C65E7DC"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High-profile customers increase the consequences of disclosure and operational failure but do not justify disproportionate collection or weakened controls. Enhanced identity or delivery arrangements must be documented, access-controlled and tested so exceptional handling does not create another attack path.</w:t>
      </w:r>
    </w:p>
    <w:p w14:paraId="0C7CACE1" w14:textId="77777777" w:rsidR="008B267C" w:rsidRPr="00E13789" w:rsidRDefault="008B267C" w:rsidP="008B267C">
      <w:pPr>
        <w:pStyle w:val="NormalWeb"/>
        <w:numPr>
          <w:ilvl w:val="0"/>
          <w:numId w:val="11"/>
        </w:numPr>
        <w:rPr>
          <w:rFonts w:ascii="Arial" w:hAnsi="Arial" w:cs="Arial"/>
          <w:b/>
          <w:bCs/>
          <w:color w:val="000000"/>
          <w:sz w:val="22"/>
          <w:szCs w:val="22"/>
        </w:rPr>
      </w:pPr>
      <w:r w:rsidRPr="00E13789">
        <w:rPr>
          <w:rFonts w:ascii="Arial" w:hAnsi="Arial" w:cs="Arial"/>
          <w:b/>
          <w:bCs/>
          <w:color w:val="000000"/>
          <w:sz w:val="22"/>
          <w:szCs w:val="22"/>
        </w:rPr>
        <w:t>Prioritised recommendation</w:t>
      </w:r>
    </w:p>
    <w:p w14:paraId="2600F1EE" w14:textId="77777777" w:rsidR="008B267C" w:rsidRPr="00E13789" w:rsidRDefault="008B267C" w:rsidP="008B267C">
      <w:pPr>
        <w:pStyle w:val="NormalWeb"/>
        <w:rPr>
          <w:rFonts w:ascii="Arial" w:hAnsi="Arial" w:cs="Arial"/>
          <w:color w:val="000000"/>
          <w:sz w:val="22"/>
          <w:szCs w:val="22"/>
        </w:rPr>
      </w:pPr>
      <w:r w:rsidRPr="00E13789">
        <w:rPr>
          <w:rFonts w:ascii="Arial" w:hAnsi="Arial" w:cs="Arial"/>
          <w:color w:val="000000"/>
          <w:sz w:val="22"/>
          <w:szCs w:val="22"/>
        </w:rPr>
        <w:t>Priorities are ordered by commercial exposure: product safety and legal compliance before launch, resilience before public operation, and evidence-based review before expansion. Items 1 and 2 must both be complete before the first international order.</w:t>
      </w:r>
    </w:p>
    <w:p w14:paraId="0D4E082A" w14:textId="77777777" w:rsidR="008B267C" w:rsidRPr="00E13789" w:rsidRDefault="008B267C" w:rsidP="008B267C">
      <w:pPr>
        <w:pStyle w:val="NormalWeb"/>
        <w:numPr>
          <w:ilvl w:val="0"/>
          <w:numId w:val="12"/>
        </w:numPr>
        <w:rPr>
          <w:rFonts w:ascii="Arial" w:hAnsi="Arial" w:cs="Arial"/>
          <w:color w:val="000000"/>
          <w:sz w:val="22"/>
          <w:szCs w:val="22"/>
        </w:rPr>
      </w:pPr>
      <w:r w:rsidRPr="00E13789">
        <w:rPr>
          <w:rFonts w:ascii="Arial" w:hAnsi="Arial" w:cs="Arial"/>
          <w:color w:val="000000"/>
          <w:sz w:val="22"/>
          <w:szCs w:val="22"/>
        </w:rPr>
        <w:t>Complete supplier assurance, genealogy, quarantine and recall testing; confirm dual sourcing, local fallback and buffer-stock rules.</w:t>
      </w:r>
    </w:p>
    <w:p w14:paraId="059BD86D" w14:textId="77777777" w:rsidR="008B267C" w:rsidRPr="00E13789" w:rsidRDefault="008B267C" w:rsidP="008B267C">
      <w:pPr>
        <w:pStyle w:val="NormalWeb"/>
        <w:numPr>
          <w:ilvl w:val="0"/>
          <w:numId w:val="12"/>
        </w:numPr>
        <w:rPr>
          <w:rFonts w:ascii="Arial" w:hAnsi="Arial" w:cs="Arial"/>
          <w:color w:val="000000"/>
          <w:sz w:val="22"/>
          <w:szCs w:val="22"/>
        </w:rPr>
      </w:pPr>
      <w:r w:rsidRPr="00E13789">
        <w:rPr>
          <w:rFonts w:ascii="Arial" w:hAnsi="Arial" w:cs="Arial"/>
          <w:color w:val="000000"/>
          <w:sz w:val="22"/>
          <w:szCs w:val="22"/>
        </w:rPr>
        <w:t>Complete transfer assessments, processor assurance, the DPIA, PCI DSS validation, access controls and incident-response arrangements.</w:t>
      </w:r>
    </w:p>
    <w:p w14:paraId="46CA84AB" w14:textId="77777777" w:rsidR="008B267C" w:rsidRPr="00E13789" w:rsidRDefault="008B267C" w:rsidP="008B267C">
      <w:pPr>
        <w:pStyle w:val="NormalWeb"/>
        <w:numPr>
          <w:ilvl w:val="0"/>
          <w:numId w:val="12"/>
        </w:numPr>
        <w:rPr>
          <w:rFonts w:ascii="Arial" w:hAnsi="Arial" w:cs="Arial"/>
          <w:color w:val="000000"/>
          <w:sz w:val="22"/>
          <w:szCs w:val="22"/>
        </w:rPr>
      </w:pPr>
      <w:r w:rsidRPr="00E13789">
        <w:rPr>
          <w:rFonts w:ascii="Arial" w:hAnsi="Arial" w:cs="Arial"/>
          <w:color w:val="000000"/>
          <w:sz w:val="22"/>
          <w:szCs w:val="22"/>
        </w:rPr>
        <w:lastRenderedPageBreak/>
        <w:t>Before public launch, independently demonstrate an architecture with no single point of failure and no planned downtime that supports 24/7/365 availability, together with an end-to-end RTO below 60 seconds and an RPO no greater than 60 seconds under regional failure and full expected load.</w:t>
      </w:r>
    </w:p>
    <w:p w14:paraId="6250815D" w14:textId="77777777" w:rsidR="008B267C" w:rsidRPr="00E13789" w:rsidRDefault="008B267C" w:rsidP="008B267C">
      <w:pPr>
        <w:pStyle w:val="NormalWeb"/>
        <w:numPr>
          <w:ilvl w:val="0"/>
          <w:numId w:val="12"/>
        </w:numPr>
        <w:rPr>
          <w:rFonts w:ascii="Arial" w:hAnsi="Arial" w:cs="Arial"/>
          <w:color w:val="000000"/>
          <w:sz w:val="22"/>
          <w:szCs w:val="22"/>
        </w:rPr>
      </w:pPr>
      <w:r w:rsidRPr="00E13789">
        <w:rPr>
          <w:rFonts w:ascii="Arial" w:hAnsi="Arial" w:cs="Arial"/>
          <w:color w:val="000000"/>
          <w:sz w:val="22"/>
          <w:szCs w:val="22"/>
        </w:rPr>
        <w:t>After three and six months, review quality, availability, contribution margin and customer outcomes. Any breach of a safety, traceability, fulfilment or recovery tolerance must stop expansion pending investigation.</w:t>
      </w:r>
    </w:p>
    <w:p w14:paraId="0DD12D02" w14:textId="124872DC" w:rsidR="00981A4C" w:rsidRPr="00981A4C" w:rsidRDefault="008B267C" w:rsidP="00981A4C">
      <w:pPr>
        <w:pStyle w:val="NormalWeb"/>
        <w:rPr>
          <w:rFonts w:ascii="Arial" w:hAnsi="Arial" w:cs="Arial"/>
          <w:color w:val="000000"/>
          <w:sz w:val="22"/>
          <w:szCs w:val="22"/>
        </w:rPr>
      </w:pPr>
      <w:r w:rsidRPr="00E13789">
        <w:rPr>
          <w:rFonts w:ascii="Arial" w:hAnsi="Arial" w:cs="Arial"/>
          <w:color w:val="000000"/>
          <w:sz w:val="22"/>
          <w:szCs w:val="22"/>
        </w:rPr>
        <w:t>The recommendation is conditional expansion. One route and one warehouse preserve reversibility while producing evidence absent from the original case. Further investment is justified only when observed performance supports the model assumptions and residual exposure remains within explicitly approved tolerances.</w:t>
      </w:r>
    </w:p>
    <w:p w14:paraId="11C7382A" w14:textId="002E5DCD" w:rsidR="00981A4C" w:rsidRPr="00981A4C" w:rsidRDefault="00981A4C" w:rsidP="00981A4C">
      <w:pPr>
        <w:pStyle w:val="NormalWeb"/>
        <w:rPr>
          <w:rFonts w:ascii="Arial" w:hAnsi="Arial" w:cs="Arial"/>
          <w:b/>
          <w:bCs/>
          <w:color w:val="000000"/>
          <w:sz w:val="22"/>
          <w:szCs w:val="22"/>
        </w:rPr>
      </w:pPr>
      <w:r w:rsidRPr="00981A4C">
        <w:rPr>
          <w:rFonts w:ascii="Arial" w:hAnsi="Arial" w:cs="Arial"/>
          <w:b/>
          <w:bCs/>
          <w:color w:val="000000"/>
          <w:sz w:val="22"/>
          <w:szCs w:val="22"/>
        </w:rPr>
        <w:t>REFERENCES</w:t>
      </w:r>
    </w:p>
    <w:p w14:paraId="7D9C55CC" w14:textId="77777777" w:rsidR="005E31AD" w:rsidRPr="005E31AD" w:rsidRDefault="005E31AD" w:rsidP="005E31AD">
      <w:pPr>
        <w:pStyle w:val="NormalWeb"/>
        <w:rPr>
          <w:color w:val="000000"/>
          <w:sz w:val="22"/>
          <w:szCs w:val="22"/>
        </w:rPr>
      </w:pPr>
      <w:r w:rsidRPr="005E31AD">
        <w:rPr>
          <w:color w:val="000000"/>
          <w:sz w:val="22"/>
          <w:szCs w:val="22"/>
        </w:rPr>
        <w:t>Alhazmi, O.H. and Malaiya, Y.K. (2013) ‘Evaluating disaster recovery plans using the cloud’, Proceedings of the Annual Reliability and Maintainability Symposium, pp. 1–6. Available at:</w:t>
      </w:r>
      <w:r w:rsidRPr="005E31AD">
        <w:rPr>
          <w:rStyle w:val="apple-converted-space"/>
          <w:color w:val="000000"/>
          <w:sz w:val="22"/>
          <w:szCs w:val="22"/>
        </w:rPr>
        <w:t> </w:t>
      </w:r>
      <w:hyperlink r:id="rId8" w:history="1">
        <w:r w:rsidRPr="005E31AD">
          <w:rPr>
            <w:rStyle w:val="Hyperlink"/>
            <w:sz w:val="22"/>
            <w:szCs w:val="22"/>
          </w:rPr>
          <w:t>https://doi.org/10.1109/RAMS.2013.6517700</w:t>
        </w:r>
      </w:hyperlink>
      <w:r w:rsidRPr="005E31AD">
        <w:rPr>
          <w:color w:val="000000"/>
          <w:sz w:val="22"/>
          <w:szCs w:val="22"/>
        </w:rPr>
        <w:t>.</w:t>
      </w:r>
    </w:p>
    <w:p w14:paraId="71946885" w14:textId="77777777" w:rsidR="005E31AD" w:rsidRPr="005E31AD" w:rsidRDefault="005E31AD" w:rsidP="005E31AD">
      <w:pPr>
        <w:pStyle w:val="NormalWeb"/>
        <w:rPr>
          <w:color w:val="000000"/>
          <w:sz w:val="22"/>
          <w:szCs w:val="22"/>
        </w:rPr>
      </w:pPr>
      <w:r w:rsidRPr="005E31AD">
        <w:rPr>
          <w:color w:val="000000"/>
          <w:sz w:val="22"/>
          <w:szCs w:val="22"/>
        </w:rPr>
        <w:t xml:space="preserve">Amazon Web Services (n.d.-a) </w:t>
      </w:r>
      <w:proofErr w:type="spellStart"/>
      <w:r w:rsidRPr="005E31AD">
        <w:rPr>
          <w:color w:val="000000"/>
          <w:sz w:val="22"/>
          <w:szCs w:val="22"/>
        </w:rPr>
        <w:t>EndpointGroup</w:t>
      </w:r>
      <w:proofErr w:type="spellEnd"/>
      <w:r w:rsidRPr="005E31AD">
        <w:rPr>
          <w:color w:val="000000"/>
          <w:sz w:val="22"/>
          <w:szCs w:val="22"/>
        </w:rPr>
        <w:t>. Available at:</w:t>
      </w:r>
      <w:r w:rsidRPr="005E31AD">
        <w:rPr>
          <w:rStyle w:val="apple-converted-space"/>
          <w:color w:val="000000"/>
          <w:sz w:val="22"/>
          <w:szCs w:val="22"/>
        </w:rPr>
        <w:t> </w:t>
      </w:r>
      <w:hyperlink r:id="rId9" w:history="1">
        <w:r w:rsidRPr="005E31AD">
          <w:rPr>
            <w:rStyle w:val="Hyperlink"/>
            <w:sz w:val="22"/>
            <w:szCs w:val="22"/>
          </w:rPr>
          <w:t>https://docs.aws.amazon.com/global-accelerator/latest/api/API_EndpointGroup.html</w:t>
        </w:r>
      </w:hyperlink>
      <w:r w:rsidRPr="005E31AD">
        <w:rPr>
          <w:rStyle w:val="apple-converted-space"/>
          <w:color w:val="000000"/>
          <w:sz w:val="22"/>
          <w:szCs w:val="22"/>
        </w:rPr>
        <w:t> </w:t>
      </w:r>
      <w:r w:rsidRPr="005E31AD">
        <w:rPr>
          <w:color w:val="000000"/>
          <w:sz w:val="22"/>
          <w:szCs w:val="22"/>
        </w:rPr>
        <w:t>(Accessed: 4 October 2026).</w:t>
      </w:r>
    </w:p>
    <w:p w14:paraId="657AA86E" w14:textId="77777777" w:rsidR="005E31AD" w:rsidRPr="005E31AD" w:rsidRDefault="005E31AD" w:rsidP="005E31AD">
      <w:pPr>
        <w:pStyle w:val="NormalWeb"/>
        <w:rPr>
          <w:color w:val="000000"/>
          <w:sz w:val="22"/>
          <w:szCs w:val="22"/>
        </w:rPr>
      </w:pPr>
      <w:r w:rsidRPr="005E31AD">
        <w:rPr>
          <w:color w:val="000000"/>
          <w:sz w:val="22"/>
          <w:szCs w:val="22"/>
        </w:rPr>
        <w:t>Amazon Web Services (n.d.-b) Global tables core concepts. Available at:</w:t>
      </w:r>
      <w:r w:rsidRPr="005E31AD">
        <w:rPr>
          <w:rStyle w:val="apple-converted-space"/>
          <w:color w:val="000000"/>
          <w:sz w:val="22"/>
          <w:szCs w:val="22"/>
        </w:rPr>
        <w:t> </w:t>
      </w:r>
      <w:hyperlink r:id="rId10" w:history="1">
        <w:r w:rsidRPr="005E31AD">
          <w:rPr>
            <w:rStyle w:val="Hyperlink"/>
            <w:sz w:val="22"/>
            <w:szCs w:val="22"/>
          </w:rPr>
          <w:t>https://docs.aws.amazon.com/amazondynamodb/latest/developerguide/globaltables-CoreConcepts.html</w:t>
        </w:r>
      </w:hyperlink>
      <w:r w:rsidRPr="005E31AD">
        <w:rPr>
          <w:rStyle w:val="apple-converted-space"/>
          <w:color w:val="000000"/>
          <w:sz w:val="22"/>
          <w:szCs w:val="22"/>
        </w:rPr>
        <w:t> </w:t>
      </w:r>
      <w:r w:rsidRPr="005E31AD">
        <w:rPr>
          <w:color w:val="000000"/>
          <w:sz w:val="22"/>
          <w:szCs w:val="22"/>
        </w:rPr>
        <w:t>(Accessed: 4 October 2026).</w:t>
      </w:r>
    </w:p>
    <w:p w14:paraId="2D9C7661" w14:textId="77777777" w:rsidR="005E31AD" w:rsidRPr="005E31AD" w:rsidRDefault="005E31AD" w:rsidP="005E31AD">
      <w:pPr>
        <w:pStyle w:val="NormalWeb"/>
        <w:rPr>
          <w:color w:val="000000"/>
          <w:sz w:val="22"/>
          <w:szCs w:val="22"/>
        </w:rPr>
      </w:pPr>
      <w:r w:rsidRPr="005E31AD">
        <w:rPr>
          <w:color w:val="000000"/>
          <w:sz w:val="22"/>
          <w:szCs w:val="22"/>
        </w:rPr>
        <w:t>Amazon Web Services (n.d.-c) Global tables: multi-active, multi-Region replication. Available at:</w:t>
      </w:r>
      <w:r w:rsidRPr="005E31AD">
        <w:rPr>
          <w:rStyle w:val="apple-converted-space"/>
          <w:color w:val="000000"/>
          <w:sz w:val="22"/>
          <w:szCs w:val="22"/>
        </w:rPr>
        <w:t> </w:t>
      </w:r>
      <w:hyperlink r:id="rId11" w:history="1">
        <w:r w:rsidRPr="005E31AD">
          <w:rPr>
            <w:rStyle w:val="Hyperlink"/>
            <w:sz w:val="22"/>
            <w:szCs w:val="22"/>
          </w:rPr>
          <w:t>https://docs.aws.amazon.com/amazondynamodb/latest/developerguide/GlobalTables.html</w:t>
        </w:r>
      </w:hyperlink>
      <w:r w:rsidRPr="005E31AD">
        <w:rPr>
          <w:rStyle w:val="apple-converted-space"/>
          <w:color w:val="000000"/>
          <w:sz w:val="22"/>
          <w:szCs w:val="22"/>
        </w:rPr>
        <w:t> </w:t>
      </w:r>
      <w:r w:rsidRPr="005E31AD">
        <w:rPr>
          <w:color w:val="000000"/>
          <w:sz w:val="22"/>
          <w:szCs w:val="22"/>
        </w:rPr>
        <w:t>(Accessed: 4 October 2026).</w:t>
      </w:r>
    </w:p>
    <w:p w14:paraId="667628B9" w14:textId="77777777" w:rsidR="005E31AD" w:rsidRPr="005E31AD" w:rsidRDefault="005E31AD" w:rsidP="005E31AD">
      <w:pPr>
        <w:pStyle w:val="NormalWeb"/>
        <w:rPr>
          <w:color w:val="000000"/>
          <w:sz w:val="22"/>
          <w:szCs w:val="22"/>
        </w:rPr>
      </w:pPr>
      <w:r w:rsidRPr="005E31AD">
        <w:rPr>
          <w:color w:val="000000"/>
          <w:sz w:val="22"/>
          <w:szCs w:val="22"/>
        </w:rPr>
        <w:t>Amazon Web Services (n.d.-d) How AWS Global Accelerator works. Available at:</w:t>
      </w:r>
      <w:r w:rsidRPr="005E31AD">
        <w:rPr>
          <w:rStyle w:val="apple-converted-space"/>
          <w:color w:val="000000"/>
          <w:sz w:val="22"/>
          <w:szCs w:val="22"/>
        </w:rPr>
        <w:t> </w:t>
      </w:r>
      <w:hyperlink r:id="rId12" w:history="1">
        <w:r w:rsidRPr="005E31AD">
          <w:rPr>
            <w:rStyle w:val="Hyperlink"/>
            <w:sz w:val="22"/>
            <w:szCs w:val="22"/>
          </w:rPr>
          <w:t>https://docs.aws.amazon.com/global-accelerator/latest/dg/introduction-how-it-works.html</w:t>
        </w:r>
      </w:hyperlink>
      <w:r w:rsidRPr="005E31AD">
        <w:rPr>
          <w:rStyle w:val="apple-converted-space"/>
          <w:color w:val="000000"/>
          <w:sz w:val="22"/>
          <w:szCs w:val="22"/>
        </w:rPr>
        <w:t> </w:t>
      </w:r>
      <w:r w:rsidRPr="005E31AD">
        <w:rPr>
          <w:color w:val="000000"/>
          <w:sz w:val="22"/>
          <w:szCs w:val="22"/>
        </w:rPr>
        <w:t>(Accessed: 4 October 2026).</w:t>
      </w:r>
    </w:p>
    <w:p w14:paraId="5E0537F8" w14:textId="77777777" w:rsidR="005E31AD" w:rsidRPr="005E31AD" w:rsidRDefault="005E31AD" w:rsidP="005E31AD">
      <w:pPr>
        <w:pStyle w:val="NormalWeb"/>
        <w:rPr>
          <w:color w:val="000000"/>
          <w:sz w:val="22"/>
          <w:szCs w:val="22"/>
        </w:rPr>
      </w:pPr>
      <w:r w:rsidRPr="005E31AD">
        <w:rPr>
          <w:color w:val="000000"/>
          <w:sz w:val="22"/>
          <w:szCs w:val="22"/>
        </w:rPr>
        <w:t xml:space="preserve">Andrade, E., Nogueira, B., Matos, R., Callou, G. and Maciel, P. (2017) ‘Availability </w:t>
      </w:r>
      <w:proofErr w:type="spellStart"/>
      <w:r w:rsidRPr="005E31AD">
        <w:rPr>
          <w:color w:val="000000"/>
          <w:sz w:val="22"/>
          <w:szCs w:val="22"/>
        </w:rPr>
        <w:t>modeling</w:t>
      </w:r>
      <w:proofErr w:type="spellEnd"/>
      <w:r w:rsidRPr="005E31AD">
        <w:rPr>
          <w:color w:val="000000"/>
          <w:sz w:val="22"/>
          <w:szCs w:val="22"/>
        </w:rPr>
        <w:t xml:space="preserve"> and analysis of a disaster-recovery-as-a-service solution’, Computing, 99(10), pp. 929–954. Available at:</w:t>
      </w:r>
      <w:r w:rsidRPr="005E31AD">
        <w:rPr>
          <w:rStyle w:val="apple-converted-space"/>
          <w:color w:val="000000"/>
          <w:sz w:val="22"/>
          <w:szCs w:val="22"/>
        </w:rPr>
        <w:t> </w:t>
      </w:r>
      <w:hyperlink r:id="rId13" w:history="1">
        <w:r w:rsidRPr="005E31AD">
          <w:rPr>
            <w:rStyle w:val="Hyperlink"/>
            <w:sz w:val="22"/>
            <w:szCs w:val="22"/>
          </w:rPr>
          <w:t>https://doi.org/10.1007/s00607-017-0539-8</w:t>
        </w:r>
      </w:hyperlink>
      <w:r w:rsidRPr="005E31AD">
        <w:rPr>
          <w:color w:val="000000"/>
          <w:sz w:val="22"/>
          <w:szCs w:val="22"/>
        </w:rPr>
        <w:t>.</w:t>
      </w:r>
    </w:p>
    <w:p w14:paraId="0940FB1D" w14:textId="77777777" w:rsidR="005E31AD" w:rsidRPr="005E31AD" w:rsidRDefault="005E31AD" w:rsidP="005E31AD">
      <w:pPr>
        <w:pStyle w:val="NormalWeb"/>
        <w:rPr>
          <w:color w:val="000000"/>
          <w:sz w:val="22"/>
          <w:szCs w:val="22"/>
        </w:rPr>
      </w:pPr>
      <w:r w:rsidRPr="005E31AD">
        <w:rPr>
          <w:color w:val="000000"/>
          <w:sz w:val="22"/>
          <w:szCs w:val="22"/>
        </w:rPr>
        <w:t xml:space="preserve">Aven, T. and </w:t>
      </w:r>
      <w:proofErr w:type="spellStart"/>
      <w:r w:rsidRPr="005E31AD">
        <w:rPr>
          <w:color w:val="000000"/>
          <w:sz w:val="22"/>
          <w:szCs w:val="22"/>
        </w:rPr>
        <w:t>Thekdi</w:t>
      </w:r>
      <w:proofErr w:type="spellEnd"/>
      <w:r w:rsidRPr="005E31AD">
        <w:rPr>
          <w:color w:val="000000"/>
          <w:sz w:val="22"/>
          <w:szCs w:val="22"/>
        </w:rPr>
        <w:t xml:space="preserve">, S. (2025) Risk Science. 3rd </w:t>
      </w:r>
      <w:proofErr w:type="spellStart"/>
      <w:r w:rsidRPr="005E31AD">
        <w:rPr>
          <w:color w:val="000000"/>
          <w:sz w:val="22"/>
          <w:szCs w:val="22"/>
        </w:rPr>
        <w:t>edn</w:t>
      </w:r>
      <w:proofErr w:type="spellEnd"/>
      <w:r w:rsidRPr="005E31AD">
        <w:rPr>
          <w:color w:val="000000"/>
          <w:sz w:val="22"/>
          <w:szCs w:val="22"/>
        </w:rPr>
        <w:t>. Abingdon: Routledge.</w:t>
      </w:r>
    </w:p>
    <w:p w14:paraId="1CEE4F18" w14:textId="77777777" w:rsidR="005E31AD" w:rsidRPr="005E31AD" w:rsidRDefault="005E31AD" w:rsidP="005E31AD">
      <w:pPr>
        <w:pStyle w:val="NormalWeb"/>
        <w:rPr>
          <w:color w:val="000000"/>
          <w:sz w:val="22"/>
          <w:szCs w:val="22"/>
        </w:rPr>
      </w:pPr>
      <w:r w:rsidRPr="005E31AD">
        <w:rPr>
          <w:color w:val="000000"/>
          <w:sz w:val="22"/>
          <w:szCs w:val="22"/>
        </w:rPr>
        <w:t>Eckstein, J. and Riedmueller, S.T. (2002) ‘YASAI: Yet another add-in for teaching elementary Monte Carlo simulation in Excel’, INFORMS Transactions on Education, 2(2), pp. 12–26. Available at:</w:t>
      </w:r>
      <w:r w:rsidRPr="005E31AD">
        <w:rPr>
          <w:rStyle w:val="apple-converted-space"/>
          <w:color w:val="000000"/>
          <w:sz w:val="22"/>
          <w:szCs w:val="22"/>
        </w:rPr>
        <w:t> </w:t>
      </w:r>
      <w:hyperlink r:id="rId14" w:history="1">
        <w:r w:rsidRPr="005E31AD">
          <w:rPr>
            <w:rStyle w:val="Hyperlink"/>
            <w:sz w:val="22"/>
            <w:szCs w:val="22"/>
          </w:rPr>
          <w:t>https://doi.org/10.1287/ited.2.2.12</w:t>
        </w:r>
      </w:hyperlink>
      <w:r w:rsidRPr="005E31AD">
        <w:rPr>
          <w:color w:val="000000"/>
          <w:sz w:val="22"/>
          <w:szCs w:val="22"/>
        </w:rPr>
        <w:t>.</w:t>
      </w:r>
    </w:p>
    <w:p w14:paraId="7D5D1119" w14:textId="77777777" w:rsidR="005E31AD" w:rsidRPr="005E31AD" w:rsidRDefault="005E31AD" w:rsidP="005E31AD">
      <w:pPr>
        <w:pStyle w:val="NormalWeb"/>
        <w:rPr>
          <w:color w:val="000000"/>
          <w:sz w:val="22"/>
          <w:szCs w:val="22"/>
        </w:rPr>
      </w:pPr>
      <w:proofErr w:type="spellStart"/>
      <w:r w:rsidRPr="005E31AD">
        <w:rPr>
          <w:color w:val="000000"/>
          <w:sz w:val="22"/>
          <w:szCs w:val="22"/>
        </w:rPr>
        <w:t>Fahimnia</w:t>
      </w:r>
      <w:proofErr w:type="spellEnd"/>
      <w:r w:rsidRPr="005E31AD">
        <w:rPr>
          <w:color w:val="000000"/>
          <w:sz w:val="22"/>
          <w:szCs w:val="22"/>
        </w:rPr>
        <w:t xml:space="preserve">, B., </w:t>
      </w:r>
      <w:proofErr w:type="spellStart"/>
      <w:r w:rsidRPr="005E31AD">
        <w:rPr>
          <w:color w:val="000000"/>
          <w:sz w:val="22"/>
          <w:szCs w:val="22"/>
        </w:rPr>
        <w:t>Pournader</w:t>
      </w:r>
      <w:proofErr w:type="spellEnd"/>
      <w:r w:rsidRPr="005E31AD">
        <w:rPr>
          <w:color w:val="000000"/>
          <w:sz w:val="22"/>
          <w:szCs w:val="22"/>
        </w:rPr>
        <w:t xml:space="preserve">, M., Siemsen, E., </w:t>
      </w:r>
      <w:proofErr w:type="spellStart"/>
      <w:r w:rsidRPr="005E31AD">
        <w:rPr>
          <w:color w:val="000000"/>
          <w:sz w:val="22"/>
          <w:szCs w:val="22"/>
        </w:rPr>
        <w:t>Bendoly</w:t>
      </w:r>
      <w:proofErr w:type="spellEnd"/>
      <w:r w:rsidRPr="005E31AD">
        <w:rPr>
          <w:color w:val="000000"/>
          <w:sz w:val="22"/>
          <w:szCs w:val="22"/>
        </w:rPr>
        <w:t>, E. and Wang, C. (2019) ‘</w:t>
      </w:r>
      <w:proofErr w:type="spellStart"/>
      <w:r w:rsidRPr="005E31AD">
        <w:rPr>
          <w:color w:val="000000"/>
          <w:sz w:val="22"/>
          <w:szCs w:val="22"/>
        </w:rPr>
        <w:t>Behavioral</w:t>
      </w:r>
      <w:proofErr w:type="spellEnd"/>
      <w:r w:rsidRPr="005E31AD">
        <w:rPr>
          <w:color w:val="000000"/>
          <w:sz w:val="22"/>
          <w:szCs w:val="22"/>
        </w:rPr>
        <w:t xml:space="preserve"> operations and supply chain management—A review and literature mapping’, Decision Sciences, 50(6), pp. 1127–1183. Available at:</w:t>
      </w:r>
      <w:r w:rsidRPr="005E31AD">
        <w:rPr>
          <w:rStyle w:val="apple-converted-space"/>
          <w:color w:val="000000"/>
          <w:sz w:val="22"/>
          <w:szCs w:val="22"/>
        </w:rPr>
        <w:t> </w:t>
      </w:r>
      <w:hyperlink r:id="rId15" w:history="1">
        <w:r w:rsidRPr="005E31AD">
          <w:rPr>
            <w:rStyle w:val="Hyperlink"/>
            <w:sz w:val="22"/>
            <w:szCs w:val="22"/>
          </w:rPr>
          <w:t>https://doi.org/10.1111/deci.12369</w:t>
        </w:r>
      </w:hyperlink>
      <w:r w:rsidRPr="005E31AD">
        <w:rPr>
          <w:color w:val="000000"/>
          <w:sz w:val="22"/>
          <w:szCs w:val="22"/>
        </w:rPr>
        <w:t>.</w:t>
      </w:r>
    </w:p>
    <w:p w14:paraId="7665F3ED" w14:textId="77777777" w:rsidR="005E31AD" w:rsidRPr="005E31AD" w:rsidRDefault="005E31AD" w:rsidP="005E31AD">
      <w:pPr>
        <w:pStyle w:val="NormalWeb"/>
        <w:rPr>
          <w:color w:val="000000"/>
          <w:sz w:val="22"/>
          <w:szCs w:val="22"/>
        </w:rPr>
      </w:pPr>
      <w:r w:rsidRPr="005E31AD">
        <w:rPr>
          <w:color w:val="000000"/>
          <w:sz w:val="22"/>
          <w:szCs w:val="22"/>
        </w:rPr>
        <w:t>Information Commissioner’s Office (ICO) (2026) A guide to international transfers. Available at:</w:t>
      </w:r>
      <w:r w:rsidRPr="005E31AD">
        <w:rPr>
          <w:rStyle w:val="apple-converted-space"/>
          <w:color w:val="000000"/>
          <w:sz w:val="22"/>
          <w:szCs w:val="22"/>
        </w:rPr>
        <w:t> </w:t>
      </w:r>
      <w:hyperlink r:id="rId16" w:history="1">
        <w:r w:rsidRPr="005E31AD">
          <w:rPr>
            <w:rStyle w:val="Hyperlink"/>
            <w:sz w:val="22"/>
            <w:szCs w:val="22"/>
          </w:rPr>
          <w:t>https://ico.org.uk/for-organisations/uk-gdpr-guidance-and-resources/international-transfers/a-guide-to-international-transfers/</w:t>
        </w:r>
      </w:hyperlink>
      <w:r w:rsidRPr="005E31AD">
        <w:rPr>
          <w:rStyle w:val="apple-converted-space"/>
          <w:color w:val="000000"/>
          <w:sz w:val="22"/>
          <w:szCs w:val="22"/>
        </w:rPr>
        <w:t> </w:t>
      </w:r>
      <w:r w:rsidRPr="005E31AD">
        <w:rPr>
          <w:color w:val="000000"/>
          <w:sz w:val="22"/>
          <w:szCs w:val="22"/>
        </w:rPr>
        <w:t>(Accessed: 4 October 2026).</w:t>
      </w:r>
    </w:p>
    <w:p w14:paraId="404BB113" w14:textId="77777777" w:rsidR="005E31AD" w:rsidRPr="005E31AD" w:rsidRDefault="005E31AD" w:rsidP="005E31AD">
      <w:pPr>
        <w:pStyle w:val="NormalWeb"/>
        <w:rPr>
          <w:color w:val="000000"/>
          <w:sz w:val="22"/>
          <w:szCs w:val="22"/>
        </w:rPr>
      </w:pPr>
      <w:r w:rsidRPr="005E31AD">
        <w:rPr>
          <w:color w:val="000000"/>
          <w:sz w:val="22"/>
          <w:szCs w:val="22"/>
        </w:rPr>
        <w:lastRenderedPageBreak/>
        <w:t>Kumar, A. (2024) Cloud Vendor Lock-In: Identify, Strategies and Mitigate. Seminar paper. Würzburg: Julius-Maximilians-Universität Würzburg.</w:t>
      </w:r>
    </w:p>
    <w:p w14:paraId="32D507FC" w14:textId="77777777" w:rsidR="005E31AD" w:rsidRPr="005E31AD" w:rsidRDefault="005E31AD" w:rsidP="005E31AD">
      <w:pPr>
        <w:pStyle w:val="NormalWeb"/>
        <w:rPr>
          <w:color w:val="000000"/>
          <w:sz w:val="22"/>
          <w:szCs w:val="22"/>
        </w:rPr>
      </w:pPr>
      <w:r w:rsidRPr="005E31AD">
        <w:rPr>
          <w:color w:val="000000"/>
          <w:sz w:val="22"/>
          <w:szCs w:val="22"/>
        </w:rPr>
        <w:t>PCI Security Standards Council (PCI SSC) (2025) How does an e-commerce merchant meet the SAQ A eligibility criteria for scripts? Available at:</w:t>
      </w:r>
      <w:r w:rsidRPr="005E31AD">
        <w:rPr>
          <w:rStyle w:val="apple-converted-space"/>
          <w:color w:val="000000"/>
          <w:sz w:val="22"/>
          <w:szCs w:val="22"/>
        </w:rPr>
        <w:t> </w:t>
      </w:r>
      <w:hyperlink r:id="rId17" w:history="1">
        <w:r w:rsidRPr="005E31AD">
          <w:rPr>
            <w:rStyle w:val="Hyperlink"/>
            <w:sz w:val="22"/>
            <w:szCs w:val="22"/>
          </w:rPr>
          <w:t>https://www.pcisecuritystandards.org/faqs/1588/</w:t>
        </w:r>
      </w:hyperlink>
      <w:r w:rsidRPr="005E31AD">
        <w:rPr>
          <w:rStyle w:val="apple-converted-space"/>
          <w:color w:val="000000"/>
          <w:sz w:val="22"/>
          <w:szCs w:val="22"/>
        </w:rPr>
        <w:t> </w:t>
      </w:r>
      <w:r w:rsidRPr="005E31AD">
        <w:rPr>
          <w:color w:val="000000"/>
          <w:sz w:val="22"/>
          <w:szCs w:val="22"/>
        </w:rPr>
        <w:t>(Accessed: 4 October 2026).</w:t>
      </w:r>
    </w:p>
    <w:p w14:paraId="31A01F78" w14:textId="77777777" w:rsidR="005E31AD" w:rsidRPr="005E31AD" w:rsidRDefault="005E31AD" w:rsidP="005E31AD">
      <w:pPr>
        <w:pStyle w:val="NormalWeb"/>
        <w:rPr>
          <w:color w:val="000000"/>
          <w:sz w:val="22"/>
          <w:szCs w:val="22"/>
        </w:rPr>
      </w:pPr>
      <w:r w:rsidRPr="005E31AD">
        <w:rPr>
          <w:color w:val="000000"/>
          <w:sz w:val="22"/>
          <w:szCs w:val="22"/>
        </w:rPr>
        <w:t>Pineiro-Chousa, J., Vizcaíno-González, M., López-Cabarcos, M.Á. and Romero-Castro, N. (2017) ‘Managing reputational risk through environmental management and reporting: An options theory approach’, Sustainability, 9(3), 376. Available at:</w:t>
      </w:r>
      <w:r w:rsidRPr="005E31AD">
        <w:rPr>
          <w:rStyle w:val="apple-converted-space"/>
          <w:color w:val="000000"/>
          <w:sz w:val="22"/>
          <w:szCs w:val="22"/>
        </w:rPr>
        <w:t> </w:t>
      </w:r>
      <w:hyperlink r:id="rId18" w:history="1">
        <w:r w:rsidRPr="005E31AD">
          <w:rPr>
            <w:rStyle w:val="Hyperlink"/>
            <w:sz w:val="22"/>
            <w:szCs w:val="22"/>
          </w:rPr>
          <w:t>https://doi.org/10.3390/su9030376</w:t>
        </w:r>
      </w:hyperlink>
      <w:r w:rsidRPr="005E31AD">
        <w:rPr>
          <w:color w:val="000000"/>
          <w:sz w:val="22"/>
          <w:szCs w:val="22"/>
        </w:rPr>
        <w:t>.</w:t>
      </w:r>
    </w:p>
    <w:p w14:paraId="66E41F06" w14:textId="77777777" w:rsidR="005E31AD" w:rsidRPr="005E31AD" w:rsidRDefault="005E31AD" w:rsidP="005E31AD">
      <w:pPr>
        <w:pStyle w:val="NormalWeb"/>
        <w:rPr>
          <w:color w:val="000000"/>
          <w:sz w:val="22"/>
          <w:szCs w:val="22"/>
        </w:rPr>
      </w:pPr>
      <w:r w:rsidRPr="005E31AD">
        <w:rPr>
          <w:color w:val="000000"/>
          <w:sz w:val="22"/>
          <w:szCs w:val="22"/>
        </w:rPr>
        <w:t xml:space="preserve">Sutton, D. (2021) Information Risk Management. 2nd </w:t>
      </w:r>
      <w:proofErr w:type="spellStart"/>
      <w:r w:rsidRPr="005E31AD">
        <w:rPr>
          <w:color w:val="000000"/>
          <w:sz w:val="22"/>
          <w:szCs w:val="22"/>
        </w:rPr>
        <w:t>edn</w:t>
      </w:r>
      <w:proofErr w:type="spellEnd"/>
      <w:r w:rsidRPr="005E31AD">
        <w:rPr>
          <w:color w:val="000000"/>
          <w:sz w:val="22"/>
          <w:szCs w:val="22"/>
        </w:rPr>
        <w:t>. Swindon: BCS Learning &amp; Development Ltd.</w:t>
      </w:r>
    </w:p>
    <w:p w14:paraId="5BBB069C" w14:textId="1CD9DB37" w:rsidR="002E5A02" w:rsidRPr="005E31AD" w:rsidRDefault="002E5A02" w:rsidP="008B267C">
      <w:pPr>
        <w:rPr>
          <w:rFonts w:ascii="Arial" w:hAnsi="Arial" w:cs="Arial"/>
          <w:sz w:val="22"/>
          <w:szCs w:val="22"/>
        </w:rPr>
      </w:pPr>
    </w:p>
    <w:sectPr w:rsidR="002E5A02" w:rsidRPr="005E31AD" w:rsidSect="00BA081A">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61C9BA" w14:textId="77777777" w:rsidR="00962276" w:rsidRDefault="00962276" w:rsidP="000F496A">
      <w:r>
        <w:separator/>
      </w:r>
    </w:p>
  </w:endnote>
  <w:endnote w:type="continuationSeparator" w:id="0">
    <w:p w14:paraId="5E7959A7" w14:textId="77777777" w:rsidR="00962276" w:rsidRDefault="00962276" w:rsidP="000F4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6E229" w14:textId="731EFC1C" w:rsidR="000F496A" w:rsidRPr="000F496A" w:rsidRDefault="000F496A">
    <w:pPr>
      <w:pStyle w:val="Footer"/>
      <w:rPr>
        <w:rFonts w:ascii="Arial" w:hAnsi="Arial" w:cs="Arial"/>
        <w:sz w:val="22"/>
        <w:szCs w:val="22"/>
      </w:rPr>
    </w:pPr>
    <w:r w:rsidRPr="000F496A">
      <w:rPr>
        <w:rFonts w:ascii="Arial" w:hAnsi="Arial" w:cs="Arial"/>
        <w:sz w:val="22"/>
        <w:szCs w:val="22"/>
      </w:rPr>
      <w:t>Word count: 1999 words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62F68B" w14:textId="77777777" w:rsidR="00962276" w:rsidRDefault="00962276" w:rsidP="000F496A">
      <w:r>
        <w:separator/>
      </w:r>
    </w:p>
  </w:footnote>
  <w:footnote w:type="continuationSeparator" w:id="0">
    <w:p w14:paraId="4246FC39" w14:textId="77777777" w:rsidR="00962276" w:rsidRDefault="00962276" w:rsidP="000F49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002DF"/>
    <w:multiLevelType w:val="multilevel"/>
    <w:tmpl w:val="C514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C5613"/>
    <w:multiLevelType w:val="multilevel"/>
    <w:tmpl w:val="D444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D0EC5"/>
    <w:multiLevelType w:val="multilevel"/>
    <w:tmpl w:val="B6F41E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B246B"/>
    <w:multiLevelType w:val="multilevel"/>
    <w:tmpl w:val="A7248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CA6B6E"/>
    <w:multiLevelType w:val="multilevel"/>
    <w:tmpl w:val="38161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B6E82"/>
    <w:multiLevelType w:val="multilevel"/>
    <w:tmpl w:val="8438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856629"/>
    <w:multiLevelType w:val="multilevel"/>
    <w:tmpl w:val="1D48A9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163C46"/>
    <w:multiLevelType w:val="hybridMultilevel"/>
    <w:tmpl w:val="2888424E"/>
    <w:lvl w:ilvl="0" w:tplc="FB9E6C1E">
      <w:start w:val="1"/>
      <w:numFmt w:val="bullet"/>
      <w:lvlText w:val="●"/>
      <w:lvlJc w:val="left"/>
      <w:pPr>
        <w:ind w:left="720" w:hanging="360"/>
      </w:pPr>
    </w:lvl>
    <w:lvl w:ilvl="1" w:tplc="4FAC034C">
      <w:start w:val="1"/>
      <w:numFmt w:val="bullet"/>
      <w:lvlText w:val="○"/>
      <w:lvlJc w:val="left"/>
      <w:pPr>
        <w:ind w:left="1440" w:hanging="360"/>
      </w:pPr>
    </w:lvl>
    <w:lvl w:ilvl="2" w:tplc="B9CC4970">
      <w:start w:val="1"/>
      <w:numFmt w:val="bullet"/>
      <w:lvlText w:val="■"/>
      <w:lvlJc w:val="left"/>
      <w:pPr>
        <w:ind w:left="2160" w:hanging="360"/>
      </w:pPr>
    </w:lvl>
    <w:lvl w:ilvl="3" w:tplc="9BFEDE64">
      <w:start w:val="1"/>
      <w:numFmt w:val="bullet"/>
      <w:lvlText w:val="●"/>
      <w:lvlJc w:val="left"/>
      <w:pPr>
        <w:ind w:left="2880" w:hanging="360"/>
      </w:pPr>
    </w:lvl>
    <w:lvl w:ilvl="4" w:tplc="3564B61E">
      <w:start w:val="1"/>
      <w:numFmt w:val="bullet"/>
      <w:lvlText w:val="○"/>
      <w:lvlJc w:val="left"/>
      <w:pPr>
        <w:ind w:left="3600" w:hanging="360"/>
      </w:pPr>
    </w:lvl>
    <w:lvl w:ilvl="5" w:tplc="4F3AE4C0">
      <w:start w:val="1"/>
      <w:numFmt w:val="bullet"/>
      <w:lvlText w:val="■"/>
      <w:lvlJc w:val="left"/>
      <w:pPr>
        <w:ind w:left="4320" w:hanging="360"/>
      </w:pPr>
    </w:lvl>
    <w:lvl w:ilvl="6" w:tplc="56C2E4AE">
      <w:start w:val="1"/>
      <w:numFmt w:val="bullet"/>
      <w:lvlText w:val="●"/>
      <w:lvlJc w:val="left"/>
      <w:pPr>
        <w:ind w:left="5040" w:hanging="360"/>
      </w:pPr>
    </w:lvl>
    <w:lvl w:ilvl="7" w:tplc="9AA64FBA">
      <w:start w:val="1"/>
      <w:numFmt w:val="bullet"/>
      <w:lvlText w:val="●"/>
      <w:lvlJc w:val="left"/>
      <w:pPr>
        <w:ind w:left="5760" w:hanging="360"/>
      </w:pPr>
    </w:lvl>
    <w:lvl w:ilvl="8" w:tplc="27D8DB3C">
      <w:start w:val="1"/>
      <w:numFmt w:val="bullet"/>
      <w:lvlText w:val="●"/>
      <w:lvlJc w:val="left"/>
      <w:pPr>
        <w:ind w:left="6480" w:hanging="360"/>
      </w:pPr>
    </w:lvl>
  </w:abstractNum>
  <w:abstractNum w:abstractNumId="8" w15:restartNumberingAfterBreak="0">
    <w:nsid w:val="5EC87C4A"/>
    <w:multiLevelType w:val="multilevel"/>
    <w:tmpl w:val="0518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73052"/>
    <w:multiLevelType w:val="hybridMultilevel"/>
    <w:tmpl w:val="12BE4CD8"/>
    <w:lvl w:ilvl="0" w:tplc="4C20F0A2">
      <w:start w:val="1"/>
      <w:numFmt w:val="bullet"/>
      <w:lvlText w:val="•"/>
      <w:lvlJc w:val="left"/>
      <w:pPr>
        <w:ind w:left="540" w:hanging="270"/>
      </w:pPr>
    </w:lvl>
    <w:lvl w:ilvl="1" w:tplc="0FB60C4A">
      <w:numFmt w:val="decimal"/>
      <w:lvlText w:val=""/>
      <w:lvlJc w:val="left"/>
    </w:lvl>
    <w:lvl w:ilvl="2" w:tplc="D16A6766">
      <w:numFmt w:val="decimal"/>
      <w:lvlText w:val=""/>
      <w:lvlJc w:val="left"/>
    </w:lvl>
    <w:lvl w:ilvl="3" w:tplc="37D0762C">
      <w:numFmt w:val="decimal"/>
      <w:lvlText w:val=""/>
      <w:lvlJc w:val="left"/>
    </w:lvl>
    <w:lvl w:ilvl="4" w:tplc="FA5EB5EC">
      <w:numFmt w:val="decimal"/>
      <w:lvlText w:val=""/>
      <w:lvlJc w:val="left"/>
    </w:lvl>
    <w:lvl w:ilvl="5" w:tplc="9642DE86">
      <w:numFmt w:val="decimal"/>
      <w:lvlText w:val=""/>
      <w:lvlJc w:val="left"/>
    </w:lvl>
    <w:lvl w:ilvl="6" w:tplc="5400DD16">
      <w:numFmt w:val="decimal"/>
      <w:lvlText w:val=""/>
      <w:lvlJc w:val="left"/>
    </w:lvl>
    <w:lvl w:ilvl="7" w:tplc="260CFB66">
      <w:numFmt w:val="decimal"/>
      <w:lvlText w:val=""/>
      <w:lvlJc w:val="left"/>
    </w:lvl>
    <w:lvl w:ilvl="8" w:tplc="0CDC9676">
      <w:numFmt w:val="decimal"/>
      <w:lvlText w:val=""/>
      <w:lvlJc w:val="left"/>
    </w:lvl>
  </w:abstractNum>
  <w:abstractNum w:abstractNumId="10" w15:restartNumberingAfterBreak="0">
    <w:nsid w:val="701C2CD4"/>
    <w:multiLevelType w:val="hybridMultilevel"/>
    <w:tmpl w:val="E542D5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EF7435"/>
    <w:multiLevelType w:val="multilevel"/>
    <w:tmpl w:val="E566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252419">
    <w:abstractNumId w:val="7"/>
    <w:lvlOverride w:ilvl="0">
      <w:startOverride w:val="1"/>
    </w:lvlOverride>
  </w:num>
  <w:num w:numId="2" w16cid:durableId="608633779">
    <w:abstractNumId w:val="9"/>
    <w:lvlOverride w:ilvl="0">
      <w:startOverride w:val="1"/>
    </w:lvlOverride>
  </w:num>
  <w:num w:numId="3" w16cid:durableId="1481071486">
    <w:abstractNumId w:val="1"/>
  </w:num>
  <w:num w:numId="4" w16cid:durableId="1678845219">
    <w:abstractNumId w:val="0"/>
  </w:num>
  <w:num w:numId="5" w16cid:durableId="17857592">
    <w:abstractNumId w:val="8"/>
  </w:num>
  <w:num w:numId="6" w16cid:durableId="1266839125">
    <w:abstractNumId w:val="10"/>
  </w:num>
  <w:num w:numId="7" w16cid:durableId="1940678800">
    <w:abstractNumId w:val="11"/>
  </w:num>
  <w:num w:numId="8" w16cid:durableId="350224752">
    <w:abstractNumId w:val="2"/>
  </w:num>
  <w:num w:numId="9" w16cid:durableId="2004773472">
    <w:abstractNumId w:val="4"/>
  </w:num>
  <w:num w:numId="10" w16cid:durableId="1168863268">
    <w:abstractNumId w:val="3"/>
  </w:num>
  <w:num w:numId="11" w16cid:durableId="537354728">
    <w:abstractNumId w:val="6"/>
  </w:num>
  <w:num w:numId="12" w16cid:durableId="77667778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A02"/>
    <w:rsid w:val="000F496A"/>
    <w:rsid w:val="002E5A02"/>
    <w:rsid w:val="00485584"/>
    <w:rsid w:val="005E31AD"/>
    <w:rsid w:val="008157F0"/>
    <w:rsid w:val="00864176"/>
    <w:rsid w:val="008B267C"/>
    <w:rsid w:val="00962276"/>
    <w:rsid w:val="00981A4C"/>
    <w:rsid w:val="009F6030"/>
    <w:rsid w:val="00AF3426"/>
    <w:rsid w:val="00AF4DF0"/>
    <w:rsid w:val="00BA081A"/>
    <w:rsid w:val="00E13789"/>
    <w:rsid w:val="00EE56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CFB8"/>
  <w15:docId w15:val="{277638DA-0543-A145-998F-2C50E563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85584"/>
    <w:pPr>
      <w:spacing w:before="100" w:beforeAutospacing="1" w:after="100" w:afterAutospacing="1"/>
    </w:pPr>
    <w:rPr>
      <w:sz w:val="24"/>
      <w:szCs w:val="24"/>
    </w:rPr>
  </w:style>
  <w:style w:type="character" w:customStyle="1" w:styleId="apple-converted-space">
    <w:name w:val="apple-converted-space"/>
    <w:basedOn w:val="DefaultParagraphFont"/>
    <w:rsid w:val="00485584"/>
  </w:style>
  <w:style w:type="character" w:styleId="Emphasis">
    <w:name w:val="Emphasis"/>
    <w:basedOn w:val="DefaultParagraphFont"/>
    <w:uiPriority w:val="20"/>
    <w:qFormat/>
    <w:rsid w:val="00485584"/>
    <w:rPr>
      <w:i/>
      <w:iCs/>
    </w:rPr>
  </w:style>
  <w:style w:type="character" w:styleId="Strong">
    <w:name w:val="Strong"/>
    <w:basedOn w:val="DefaultParagraphFont"/>
    <w:uiPriority w:val="22"/>
    <w:qFormat/>
    <w:rsid w:val="00485584"/>
    <w:rPr>
      <w:b/>
      <w:bCs/>
    </w:rPr>
  </w:style>
  <w:style w:type="table" w:styleId="TableGrid">
    <w:name w:val="Table Grid"/>
    <w:basedOn w:val="TableNormal"/>
    <w:uiPriority w:val="39"/>
    <w:rsid w:val="00BA0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31AD"/>
    <w:rPr>
      <w:color w:val="605E5C"/>
      <w:shd w:val="clear" w:color="auto" w:fill="E1DFDD"/>
    </w:rPr>
  </w:style>
  <w:style w:type="paragraph" w:styleId="Header">
    <w:name w:val="header"/>
    <w:basedOn w:val="Normal"/>
    <w:link w:val="HeaderChar"/>
    <w:uiPriority w:val="99"/>
    <w:unhideWhenUsed/>
    <w:rsid w:val="000F496A"/>
    <w:pPr>
      <w:tabs>
        <w:tab w:val="center" w:pos="4513"/>
        <w:tab w:val="right" w:pos="9026"/>
      </w:tabs>
    </w:pPr>
  </w:style>
  <w:style w:type="character" w:customStyle="1" w:styleId="HeaderChar">
    <w:name w:val="Header Char"/>
    <w:basedOn w:val="DefaultParagraphFont"/>
    <w:link w:val="Header"/>
    <w:uiPriority w:val="99"/>
    <w:rsid w:val="000F496A"/>
  </w:style>
  <w:style w:type="paragraph" w:styleId="Footer">
    <w:name w:val="footer"/>
    <w:basedOn w:val="Normal"/>
    <w:link w:val="FooterChar"/>
    <w:uiPriority w:val="99"/>
    <w:unhideWhenUsed/>
    <w:rsid w:val="000F496A"/>
    <w:pPr>
      <w:tabs>
        <w:tab w:val="center" w:pos="4513"/>
        <w:tab w:val="right" w:pos="9026"/>
      </w:tabs>
    </w:pPr>
  </w:style>
  <w:style w:type="character" w:customStyle="1" w:styleId="FooterChar">
    <w:name w:val="Footer Char"/>
    <w:basedOn w:val="DefaultParagraphFont"/>
    <w:link w:val="Footer"/>
    <w:uiPriority w:val="99"/>
    <w:rsid w:val="000F4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09/RAMS.2013.6517700" TargetMode="External"/><Relationship Id="rId13" Type="http://schemas.openxmlformats.org/officeDocument/2006/relationships/hyperlink" Target="https://doi.org/10.1007/s00607-017-0539-8" TargetMode="External"/><Relationship Id="rId18" Type="http://schemas.openxmlformats.org/officeDocument/2006/relationships/hyperlink" Target="https://doi.org/10.3390/su903037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aws.amazon.com/global-accelerator/latest/dg/introduction-how-it-works.html" TargetMode="External"/><Relationship Id="rId17" Type="http://schemas.openxmlformats.org/officeDocument/2006/relationships/hyperlink" Target="https://www.pcisecuritystandards.org/faqs/1588/" TargetMode="External"/><Relationship Id="rId2" Type="http://schemas.openxmlformats.org/officeDocument/2006/relationships/numbering" Target="numbering.xml"/><Relationship Id="rId16" Type="http://schemas.openxmlformats.org/officeDocument/2006/relationships/hyperlink" Target="https://ico.org.uk/for-organisations/uk-gdpr-guidance-and-resources/international-transfers/a-guide-to-international-transfer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amazondynamodb/latest/developerguide/GlobalTables.html" TargetMode="External"/><Relationship Id="rId5" Type="http://schemas.openxmlformats.org/officeDocument/2006/relationships/webSettings" Target="webSettings.xml"/><Relationship Id="rId15" Type="http://schemas.openxmlformats.org/officeDocument/2006/relationships/hyperlink" Target="https://doi.org/10.1111/deci.12369" TargetMode="External"/><Relationship Id="rId10" Type="http://schemas.openxmlformats.org/officeDocument/2006/relationships/hyperlink" Target="https://docs.aws.amazon.com/amazondynamodb/latest/developerguide/globaltables-CoreConcepts.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aws.amazon.com/global-accelerator/latest/api/API_EndpointGroup.html" TargetMode="External"/><Relationship Id="rId14" Type="http://schemas.openxmlformats.org/officeDocument/2006/relationships/hyperlink" Target="https://doi.org/10.1287/ited.2.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E9174-457A-6E4A-B005-453A66324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Kaona Hoxha</cp:lastModifiedBy>
  <cp:revision>2</cp:revision>
  <dcterms:created xsi:type="dcterms:W3CDTF">2026-10-05T20:53:00Z</dcterms:created>
  <dcterms:modified xsi:type="dcterms:W3CDTF">2026-10-05T20:53:00Z</dcterms:modified>
</cp:coreProperties>
</file>