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Tanglaw-Buhay Codebook Reference Guide</w:t>
      </w:r>
    </w:p>
    <w:p>
      <w:pPr>
        <w:jc w:val="center"/>
      </w:pPr>
      <w:r>
        <w:rPr>
          <w:rFonts w:ascii="Arial" w:hAnsi="Arial"/>
          <w:i/>
          <w:sz w:val="22"/>
        </w:rPr>
        <w:t>Beginner-friendly guide to variable_definitions.csv and codebook_values.csv</w:t>
      </w:r>
    </w:p>
    <w:p>
      <w:pPr>
        <w:jc w:val="center"/>
      </w:pPr>
      <w:r>
        <w:rPr>
          <w:sz w:val="19"/>
        </w:rPr>
        <w:t>Prepared for the Tanglaw-Buhay development team</w:t>
      </w:r>
    </w:p>
    <w:p/>
    <w:p>
      <w:pPr>
        <w:pStyle w:val="Heading1"/>
      </w:pPr>
      <w:r>
        <w:t>1. Why these two files exist</w:t>
      </w:r>
    </w:p>
    <w:p>
      <w:r>
        <w:t>The three synthetic CBMS CSV files contain technical variable names and many coded values. For example, A05_SEX may contain 1 or 2, and A02_RELATION_TO_HH_HEAD may contain 01, 02, or 03. Those values are useful for data processing, but an LGU staff user should eventually see labels such as "Male", "Female", "Head", "Spouse", or "Son" instead of raw codes.</w:t>
      </w:r>
    </w:p>
    <w:p>
      <w:r>
        <w:t>The two reference CSV files solve two different problems: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rFonts w:ascii="Arial" w:hAnsi="Arial"/>
                <w:b/>
                <w:sz w:val="17"/>
              </w:rPr>
              <w:t>File</w:t>
            </w:r>
          </w:p>
        </w:tc>
        <w:tc>
          <w:tcPr>
            <w:tcW w:type="dxa" w:w="6768"/>
            <w:vAlign w:val="center"/>
            <w:shd w:fill="D9EAF7"/>
          </w:tcPr>
          <w:p>
            <w:r/>
            <w:r>
              <w:rPr>
                <w:rFonts w:ascii="Arial" w:hAnsi="Arial"/>
                <w:b/>
                <w:sz w:val="17"/>
              </w:rPr>
              <w:t>Main question it answers</w:t>
            </w:r>
          </w:p>
        </w:tc>
        <w:tc>
          <w:tcPr>
            <w:tcW w:type="dxa" w:w="2016"/>
            <w:vAlign w:val="center"/>
            <w:shd w:fill="D9EAF7"/>
          </w:tcPr>
          <w:p>
            <w:r/>
            <w:r>
              <w:rPr>
                <w:rFonts w:ascii="Arial" w:hAnsi="Arial"/>
                <w:b/>
                <w:sz w:val="17"/>
              </w:rPr>
              <w:t>Current size</w:t>
            </w:r>
          </w:p>
        </w:tc>
      </w:tr>
      <w:tr>
        <w:tc>
          <w:tcPr>
            <w:tcW w:type="dxa" w:w="2880"/>
            <w:vAlign w:val="center"/>
          </w:tcPr>
          <w:p>
            <w:r/>
            <w:r>
              <w:rPr>
                <w:rFonts w:ascii="Arial" w:hAnsi="Arial"/>
                <w:b w:val="0"/>
                <w:sz w:val="17"/>
              </w:rPr>
              <w:t>variable_definitions.csv</w:t>
            </w:r>
          </w:p>
        </w:tc>
        <w:tc>
          <w:tcPr>
            <w:tcW w:type="dxa" w:w="6768"/>
            <w:vAlign w:val="center"/>
          </w:tcPr>
          <w:p>
            <w:r/>
            <w:r>
              <w:rPr>
                <w:rFonts w:ascii="Arial" w:hAnsi="Arial"/>
                <w:b w:val="0"/>
                <w:sz w:val="17"/>
              </w:rPr>
              <w:t>What is this variable, and how should Tanglaw-Buhay handle it?</w:t>
            </w:r>
          </w:p>
        </w:tc>
        <w:tc>
          <w:tcPr>
            <w:tcW w:type="dxa" w:w="2016"/>
            <w:vAlign w:val="center"/>
          </w:tcPr>
          <w:p>
            <w:r/>
            <w:r>
              <w:rPr>
                <w:rFonts w:ascii="Arial" w:hAnsi="Arial"/>
                <w:b w:val="0"/>
                <w:sz w:val="17"/>
              </w:rPr>
              <w:t>157 variable rows</w:t>
            </w:r>
          </w:p>
        </w:tc>
      </w:tr>
      <w:tr>
        <w:tc>
          <w:tcPr>
            <w:tcW w:type="dxa" w:w="2880"/>
            <w:vAlign w:val="center"/>
          </w:tcPr>
          <w:p>
            <w:r/>
            <w:r>
              <w:rPr>
                <w:rFonts w:ascii="Arial" w:hAnsi="Arial"/>
                <w:b w:val="0"/>
                <w:sz w:val="17"/>
              </w:rPr>
              <w:t>codebook_values.csv</w:t>
            </w:r>
          </w:p>
        </w:tc>
        <w:tc>
          <w:tcPr>
            <w:tcW w:type="dxa" w:w="6768"/>
            <w:vAlign w:val="center"/>
          </w:tcPr>
          <w:p>
            <w:r/>
            <w:r>
              <w:rPr>
                <w:rFonts w:ascii="Arial" w:hAnsi="Arial"/>
                <w:b w:val="0"/>
                <w:sz w:val="17"/>
              </w:rPr>
              <w:t>If this variable contains a code, what does each code mean?</w:t>
            </w:r>
          </w:p>
        </w:tc>
        <w:tc>
          <w:tcPr>
            <w:tcW w:type="dxa" w:w="2016"/>
            <w:vAlign w:val="center"/>
          </w:tcPr>
          <w:p>
            <w:r/>
            <w:r>
              <w:rPr>
                <w:rFonts w:ascii="Arial" w:hAnsi="Arial"/>
                <w:b w:val="0"/>
                <w:sz w:val="17"/>
              </w:rPr>
              <w:t>509 code mappings for 118 variables</w:t>
            </w:r>
          </w:p>
        </w:tc>
      </w:tr>
    </w:tbl>
    <w:p/>
    <w:p>
      <w:r>
        <w:rPr>
          <w:b/>
        </w:rPr>
        <w:t xml:space="preserve">Simple analogy: </w:t>
      </w:r>
      <w:r>
        <w:t>variable_definitions.csv is the index/card describing every field. codebook_values.csv is the dictionary that translates coded answers.</w:t>
      </w:r>
    </w:p>
    <w:p>
      <w:pPr>
        <w:pStyle w:val="Heading1"/>
      </w:pPr>
      <w:r>
        <w:t>2. How they connect to the rest of Tanglaw-Buhay</w:t>
      </w:r>
    </w:p>
    <w:p>
      <w:r>
        <w:t>These files are not the household records themselves. They are reference data used by ETL, PostgreSQL, Flask, and later analytical modules.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Arial" w:hAnsi="Arial"/>
                <w:b/>
                <w:sz w:val="17"/>
              </w:rPr>
              <w:t>Stage</w:t>
            </w:r>
          </w:p>
        </w:tc>
        <w:tc>
          <w:tcPr>
            <w:tcW w:type="dxa" w:w="8352"/>
            <w:vAlign w:val="center"/>
            <w:shd w:fill="D9EAF7"/>
          </w:tcPr>
          <w:p>
            <w:r/>
            <w:r>
              <w:rPr>
                <w:rFonts w:ascii="Arial" w:hAnsi="Arial"/>
                <w:b/>
                <w:sz w:val="17"/>
              </w:rPr>
              <w:t>Role</w:t>
            </w:r>
          </w:p>
        </w:tc>
      </w:tr>
      <w:tr>
        <w:tc>
          <w:tcPr>
            <w:tcW w:type="dxa" w:w="3168"/>
            <w:vAlign w:val="center"/>
          </w:tcPr>
          <w:p>
            <w:r/>
            <w:r>
              <w:rPr>
                <w:rFonts w:ascii="Arial" w:hAnsi="Arial"/>
                <w:b w:val="0"/>
                <w:sz w:val="17"/>
              </w:rPr>
              <w:t>Raw synthetic CBMS CSVs</w:t>
            </w:r>
          </w:p>
        </w:tc>
        <w:tc>
          <w:tcPr>
            <w:tcW w:type="dxa" w:w="8352"/>
            <w:vAlign w:val="center"/>
          </w:tcPr>
          <w:p>
            <w:r/>
            <w:r>
              <w:rPr>
                <w:rFonts w:ascii="Arial" w:hAnsi="Arial"/>
                <w:b w:val="0"/>
                <w:sz w:val="17"/>
              </w:rPr>
              <w:t>Contain household/member records and raw CBMS-style values.</w:t>
            </w:r>
          </w:p>
        </w:tc>
      </w:tr>
      <w:tr>
        <w:tc>
          <w:tcPr>
            <w:tcW w:type="dxa" w:w="3168"/>
            <w:vAlign w:val="center"/>
          </w:tcPr>
          <w:p>
            <w:r/>
            <w:r>
              <w:rPr>
                <w:rFonts w:ascii="Arial" w:hAnsi="Arial"/>
                <w:b w:val="0"/>
                <w:sz w:val="17"/>
              </w:rPr>
              <w:t>variable_definitions.csv</w:t>
            </w:r>
          </w:p>
        </w:tc>
        <w:tc>
          <w:tcPr>
            <w:tcW w:type="dxa" w:w="8352"/>
            <w:vAlign w:val="center"/>
          </w:tcPr>
          <w:p>
            <w:r/>
            <w:r>
              <w:rPr>
                <w:rFonts w:ascii="Arial" w:hAnsi="Arial"/>
                <w:b w:val="0"/>
                <w:sz w:val="17"/>
              </w:rPr>
              <w:t>Explains the type and handling rule for each available variable.</w:t>
            </w:r>
          </w:p>
        </w:tc>
      </w:tr>
      <w:tr>
        <w:tc>
          <w:tcPr>
            <w:tcW w:type="dxa" w:w="3168"/>
            <w:vAlign w:val="center"/>
          </w:tcPr>
          <w:p>
            <w:r/>
            <w:r>
              <w:rPr>
                <w:rFonts w:ascii="Arial" w:hAnsi="Arial"/>
                <w:b w:val="0"/>
                <w:sz w:val="17"/>
              </w:rPr>
              <w:t>codebook_values.csv</w:t>
            </w:r>
          </w:p>
        </w:tc>
        <w:tc>
          <w:tcPr>
            <w:tcW w:type="dxa" w:w="8352"/>
            <w:vAlign w:val="center"/>
          </w:tcPr>
          <w:p>
            <w:r/>
            <w:r>
              <w:rPr>
                <w:rFonts w:ascii="Arial" w:hAnsi="Arial"/>
                <w:b w:val="0"/>
                <w:sz w:val="17"/>
              </w:rPr>
              <w:t>Provides code-to-label mappings for variables that need translation.</w:t>
            </w:r>
          </w:p>
        </w:tc>
      </w:tr>
      <w:tr>
        <w:tc>
          <w:tcPr>
            <w:tcW w:type="dxa" w:w="3168"/>
            <w:vAlign w:val="center"/>
          </w:tcPr>
          <w:p>
            <w:r/>
            <w:r>
              <w:rPr>
                <w:rFonts w:ascii="Arial" w:hAnsi="Arial"/>
                <w:b w:val="0"/>
                <w:sz w:val="17"/>
              </w:rPr>
              <w:t>ETL / staging</w:t>
            </w:r>
          </w:p>
        </w:tc>
        <w:tc>
          <w:tcPr>
            <w:tcW w:type="dxa" w:w="8352"/>
            <w:vAlign w:val="center"/>
          </w:tcPr>
          <w:p>
            <w:r/>
            <w:r>
              <w:rPr>
                <w:rFonts w:ascii="Arial" w:hAnsi="Arial"/>
                <w:b w:val="0"/>
                <w:sz w:val="17"/>
              </w:rPr>
              <w:t>Adds HOUSEHOLD_ID and MEMBER_ID, validates values, preserves codes, and prepares clean staged data.</w:t>
            </w:r>
          </w:p>
        </w:tc>
      </w:tr>
      <w:tr>
        <w:tc>
          <w:tcPr>
            <w:tcW w:type="dxa" w:w="3168"/>
            <w:vAlign w:val="center"/>
          </w:tcPr>
          <w:p>
            <w:r/>
            <w:r>
              <w:rPr>
                <w:rFonts w:ascii="Arial" w:hAnsi="Arial"/>
                <w:b w:val="0"/>
                <w:sz w:val="17"/>
              </w:rPr>
              <w:t>PostgreSQL</w:t>
            </w:r>
          </w:p>
        </w:tc>
        <w:tc>
          <w:tcPr>
            <w:tcW w:type="dxa" w:w="8352"/>
            <w:vAlign w:val="center"/>
          </w:tcPr>
          <w:p>
            <w:r/>
            <w:r>
              <w:rPr>
                <w:rFonts w:ascii="Arial" w:hAnsi="Arial"/>
                <w:b w:val="0"/>
                <w:sz w:val="17"/>
              </w:rPr>
              <w:t>Stores household/member data plus codebook/reference tables.</w:t>
            </w:r>
          </w:p>
        </w:tc>
      </w:tr>
      <w:tr>
        <w:tc>
          <w:tcPr>
            <w:tcW w:type="dxa" w:w="3168"/>
            <w:vAlign w:val="center"/>
          </w:tcPr>
          <w:p>
            <w:r/>
            <w:r>
              <w:rPr>
                <w:rFonts w:ascii="Arial" w:hAnsi="Arial"/>
                <w:b w:val="0"/>
                <w:sz w:val="17"/>
              </w:rPr>
              <w:t>Flask / SQLAlchemy</w:t>
            </w:r>
          </w:p>
        </w:tc>
        <w:tc>
          <w:tcPr>
            <w:tcW w:type="dxa" w:w="8352"/>
            <w:vAlign w:val="center"/>
          </w:tcPr>
          <w:p>
            <w:r/>
            <w:r>
              <w:rPr>
                <w:rFonts w:ascii="Arial" w:hAnsi="Arial"/>
                <w:b w:val="0"/>
                <w:sz w:val="17"/>
              </w:rPr>
              <w:t>Reads database records and resolves codes/member references for the application.</w:t>
            </w:r>
          </w:p>
        </w:tc>
      </w:tr>
      <w:tr>
        <w:tc>
          <w:tcPr>
            <w:tcW w:type="dxa" w:w="3168"/>
            <w:vAlign w:val="center"/>
          </w:tcPr>
          <w:p>
            <w:r/>
            <w:r>
              <w:rPr>
                <w:rFonts w:ascii="Arial" w:hAnsi="Arial"/>
                <w:b w:val="0"/>
                <w:sz w:val="17"/>
              </w:rPr>
              <w:t>HTML / CSS / JavaScript UI</w:t>
            </w:r>
          </w:p>
        </w:tc>
        <w:tc>
          <w:tcPr>
            <w:tcW w:type="dxa" w:w="8352"/>
            <w:vAlign w:val="center"/>
          </w:tcPr>
          <w:p>
            <w:r/>
            <w:r>
              <w:rPr>
                <w:rFonts w:ascii="Arial" w:hAnsi="Arial"/>
                <w:b w:val="0"/>
                <w:sz w:val="17"/>
              </w:rPr>
              <w:t>Shows readable household and member information to LGU staff.</w:t>
            </w:r>
          </w:p>
        </w:tc>
      </w:tr>
      <w:tr>
        <w:tc>
          <w:tcPr>
            <w:tcW w:type="dxa" w:w="3168"/>
            <w:vAlign w:val="center"/>
          </w:tcPr>
          <w:p>
            <w:r/>
            <w:r>
              <w:rPr>
                <w:rFonts w:ascii="Arial" w:hAnsi="Arial"/>
                <w:b w:val="0"/>
                <w:sz w:val="17"/>
              </w:rPr>
              <w:t>Future analytics</w:t>
            </w:r>
          </w:p>
        </w:tc>
        <w:tc>
          <w:tcPr>
            <w:tcW w:type="dxa" w:w="8352"/>
            <w:vAlign w:val="center"/>
          </w:tcPr>
          <w:p>
            <w:r/>
            <w:r>
              <w:rPr>
                <w:rFonts w:ascii="Arial" w:hAnsi="Arial"/>
                <w:b w:val="0"/>
                <w:sz w:val="17"/>
              </w:rPr>
              <w:t>Approved indicators can later be used for vulnerability assessment and multi-criteria subsidy matching.</w:t>
            </w:r>
          </w:p>
        </w:tc>
      </w:tr>
    </w:tbl>
    <w:p/>
    <w:p>
      <w:r>
        <w:t>Important: not all 157 variables will appear in the UI, and not all 157 variables will be used in vulnerability or subsidy scoring. The reference layer simply makes sure the system understands every available field. Later methodology decisions will determine which variables are displayed, aggregated, or used as analytical indicators.</w:t>
      </w:r>
    </w:p>
    <w:p>
      <w:pPr>
        <w:pStyle w:val="Heading1"/>
      </w:pPr>
      <w:r>
        <w:t>3. File 1: variable_definitions.csv</w:t>
      </w:r>
    </w:p>
    <w:p>
      <w:r>
        <w:t>This file has one row per available raw variable. It describes the variable itself; it does not list all possible response codes.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rFonts w:ascii="Arial" w:hAnsi="Arial"/>
                <w:b/>
                <w:sz w:val="17"/>
              </w:rPr>
              <w:t>Column</w:t>
            </w:r>
          </w:p>
        </w:tc>
        <w:tc>
          <w:tcPr>
            <w:tcW w:type="dxa" w:w="6624"/>
            <w:vAlign w:val="center"/>
            <w:shd w:fill="D9EAF7"/>
          </w:tcPr>
          <w:p>
            <w:r/>
            <w:r>
              <w:rPr>
                <w:rFonts w:ascii="Arial" w:hAnsi="Arial"/>
                <w:b/>
                <w:sz w:val="17"/>
              </w:rPr>
              <w:t>What it means</w:t>
            </w:r>
          </w:p>
        </w:tc>
        <w:tc>
          <w:tcPr>
            <w:tcW w:type="dxa" w:w="2880"/>
            <w:vAlign w:val="center"/>
            <w:shd w:fill="D9EAF7"/>
          </w:tcPr>
          <w:p>
            <w:r/>
            <w:r>
              <w:rPr>
                <w:rFonts w:ascii="Arial" w:hAnsi="Arial"/>
                <w:b/>
                <w:sz w:val="17"/>
              </w:rPr>
              <w:t>Example</w:t>
            </w:r>
          </w:p>
        </w:tc>
      </w:tr>
      <w:tr>
        <w:tc>
          <w:tcPr>
            <w:tcW w:type="dxa" w:w="2880"/>
            <w:vAlign w:val="center"/>
          </w:tcPr>
          <w:p>
            <w:r/>
            <w:r>
              <w:rPr>
                <w:rFonts w:ascii="Arial" w:hAnsi="Arial"/>
                <w:b w:val="0"/>
                <w:sz w:val="17"/>
              </w:rPr>
              <w:t>variable_name</w:t>
            </w:r>
          </w:p>
        </w:tc>
        <w:tc>
          <w:tcPr>
            <w:tcW w:type="dxa" w:w="6624"/>
            <w:vAlign w:val="center"/>
          </w:tcPr>
          <w:p>
            <w:r/>
            <w:r>
              <w:rPr>
                <w:rFonts w:ascii="Arial" w:hAnsi="Arial"/>
                <w:b w:val="0"/>
                <w:sz w:val="17"/>
              </w:rPr>
              <w:t>The exact technical column name used in the raw CSV/database.</w:t>
            </w:r>
          </w:p>
        </w:tc>
        <w:tc>
          <w:tcPr>
            <w:tcW w:type="dxa" w:w="2880"/>
            <w:vAlign w:val="center"/>
          </w:tcPr>
          <w:p>
            <w:r/>
            <w:r>
              <w:rPr>
                <w:rFonts w:ascii="Arial" w:hAnsi="Arial"/>
                <w:b w:val="0"/>
                <w:sz w:val="17"/>
              </w:rPr>
              <w:t>A02_RELATION_TO_HH_HEAD</w:t>
            </w:r>
          </w:p>
        </w:tc>
      </w:tr>
      <w:tr>
        <w:tc>
          <w:tcPr>
            <w:tcW w:type="dxa" w:w="2880"/>
            <w:vAlign w:val="center"/>
          </w:tcPr>
          <w:p>
            <w:r/>
            <w:r>
              <w:rPr>
                <w:rFonts w:ascii="Arial" w:hAnsi="Arial"/>
                <w:b w:val="0"/>
                <w:sz w:val="17"/>
              </w:rPr>
              <w:t>display_name</w:t>
            </w:r>
          </w:p>
        </w:tc>
        <w:tc>
          <w:tcPr>
            <w:tcW w:type="dxa" w:w="6624"/>
            <w:vAlign w:val="center"/>
          </w:tcPr>
          <w:p>
            <w:r/>
            <w:r>
              <w:rPr>
                <w:rFonts w:ascii="Arial" w:hAnsi="Arial"/>
                <w:b w:val="0"/>
                <w:sz w:val="17"/>
              </w:rPr>
              <w:t>Human-readable description of the variable, mainly taken from CBMS metadata.</w:t>
            </w:r>
          </w:p>
        </w:tc>
        <w:tc>
          <w:tcPr>
            <w:tcW w:type="dxa" w:w="2880"/>
            <w:vAlign w:val="center"/>
          </w:tcPr>
          <w:p>
            <w:r/>
            <w:r>
              <w:rPr>
                <w:rFonts w:ascii="Arial" w:hAnsi="Arial"/>
                <w:b w:val="0"/>
                <w:sz w:val="17"/>
              </w:rPr>
              <w:t>Relationship to the household head</w:t>
            </w:r>
          </w:p>
        </w:tc>
      </w:tr>
      <w:tr>
        <w:tc>
          <w:tcPr>
            <w:tcW w:type="dxa" w:w="2880"/>
            <w:vAlign w:val="center"/>
          </w:tcPr>
          <w:p>
            <w:r/>
            <w:r>
              <w:rPr>
                <w:rFonts w:ascii="Arial" w:hAnsi="Arial"/>
                <w:b w:val="0"/>
                <w:sz w:val="17"/>
              </w:rPr>
              <w:t>source_section</w:t>
            </w:r>
          </w:p>
        </w:tc>
        <w:tc>
          <w:tcPr>
            <w:tcW w:type="dxa" w:w="6624"/>
            <w:vAlign w:val="center"/>
          </w:tcPr>
          <w:p>
            <w:r/>
            <w:r>
              <w:rPr>
                <w:rFonts w:ascii="Arial" w:hAnsi="Arial"/>
                <w:b w:val="0"/>
                <w:sz w:val="17"/>
              </w:rPr>
              <w:t>CBMS section where the variable belongs.</w:t>
            </w:r>
          </w:p>
        </w:tc>
        <w:tc>
          <w:tcPr>
            <w:tcW w:type="dxa" w:w="2880"/>
            <w:vAlign w:val="center"/>
          </w:tcPr>
          <w:p>
            <w:r/>
            <w:r>
              <w:rPr>
                <w:rFonts w:ascii="Arial" w:hAnsi="Arial"/>
                <w:b w:val="0"/>
                <w:sz w:val="17"/>
              </w:rPr>
              <w:t>A, C, E, J, K, L, O</w:t>
            </w:r>
          </w:p>
        </w:tc>
      </w:tr>
      <w:tr>
        <w:tc>
          <w:tcPr>
            <w:tcW w:type="dxa" w:w="2880"/>
            <w:vAlign w:val="center"/>
          </w:tcPr>
          <w:p>
            <w:r/>
            <w:r>
              <w:rPr>
                <w:rFonts w:ascii="Arial" w:hAnsi="Arial"/>
                <w:b w:val="0"/>
                <w:sz w:val="17"/>
              </w:rPr>
              <w:t>source_record</w:t>
            </w:r>
          </w:p>
        </w:tc>
        <w:tc>
          <w:tcPr>
            <w:tcW w:type="dxa" w:w="6624"/>
            <w:vAlign w:val="center"/>
          </w:tcPr>
          <w:p>
            <w:r/>
            <w:r>
              <w:rPr>
                <w:rFonts w:ascii="Arial" w:hAnsi="Arial"/>
                <w:b w:val="0"/>
                <w:sz w:val="17"/>
              </w:rPr>
              <w:t>Official metadata record/group associated with the variable.</w:t>
            </w:r>
          </w:p>
        </w:tc>
        <w:tc>
          <w:tcPr>
            <w:tcW w:type="dxa" w:w="2880"/>
            <w:vAlign w:val="center"/>
          </w:tcPr>
          <w:p>
            <w:r/>
            <w:r>
              <w:rPr>
                <w:rFonts w:ascii="Arial" w:hAnsi="Arial"/>
                <w:b w:val="0"/>
                <w:sz w:val="17"/>
              </w:rPr>
              <w:t>SECTION_A_TO_E</w:t>
            </w:r>
          </w:p>
        </w:tc>
      </w:tr>
      <w:tr>
        <w:tc>
          <w:tcPr>
            <w:tcW w:type="dxa" w:w="2880"/>
            <w:vAlign w:val="center"/>
          </w:tcPr>
          <w:p>
            <w:r/>
            <w:r>
              <w:rPr>
                <w:rFonts w:ascii="Arial" w:hAnsi="Arial"/>
                <w:b w:val="0"/>
                <w:sz w:val="17"/>
              </w:rPr>
              <w:t>source_file</w:t>
            </w:r>
          </w:p>
        </w:tc>
        <w:tc>
          <w:tcPr>
            <w:tcW w:type="dxa" w:w="6624"/>
            <w:vAlign w:val="center"/>
          </w:tcPr>
          <w:p>
            <w:r/>
            <w:r>
              <w:rPr>
                <w:rFonts w:ascii="Arial" w:hAnsi="Arial"/>
                <w:b w:val="0"/>
                <w:sz w:val="17"/>
              </w:rPr>
              <w:t>Which current synthetic raw CSV contains the variable.</w:t>
            </w:r>
          </w:p>
        </w:tc>
        <w:tc>
          <w:tcPr>
            <w:tcW w:type="dxa" w:w="2880"/>
            <w:vAlign w:val="center"/>
          </w:tcPr>
          <w:p>
            <w:r/>
            <w:r>
              <w:rPr>
                <w:rFonts w:ascii="Arial" w:hAnsi="Arial"/>
                <w:b w:val="0"/>
                <w:sz w:val="17"/>
              </w:rPr>
              <w:t>synthetic_section_a_e_indiv_final_corrected(4).csv</w:t>
            </w:r>
          </w:p>
        </w:tc>
      </w:tr>
      <w:tr>
        <w:tc>
          <w:tcPr>
            <w:tcW w:type="dxa" w:w="2880"/>
            <w:vAlign w:val="center"/>
          </w:tcPr>
          <w:p>
            <w:r/>
            <w:r>
              <w:rPr>
                <w:rFonts w:ascii="Arial" w:hAnsi="Arial"/>
                <w:b w:val="0"/>
                <w:sz w:val="17"/>
              </w:rPr>
              <w:t>cbms_item</w:t>
            </w:r>
          </w:p>
        </w:tc>
        <w:tc>
          <w:tcPr>
            <w:tcW w:type="dxa" w:w="6624"/>
            <w:vAlign w:val="center"/>
          </w:tcPr>
          <w:p>
            <w:r/>
            <w:r>
              <w:rPr>
                <w:rFonts w:ascii="Arial" w:hAnsi="Arial"/>
                <w:b w:val="0"/>
                <w:sz w:val="17"/>
              </w:rPr>
              <w:t>Question/item identifier used to trace the field back to the questionnaire.</w:t>
            </w:r>
          </w:p>
        </w:tc>
        <w:tc>
          <w:tcPr>
            <w:tcW w:type="dxa" w:w="2880"/>
            <w:vAlign w:val="center"/>
          </w:tcPr>
          <w:p>
            <w:r/>
            <w:r>
              <w:rPr>
                <w:rFonts w:ascii="Arial" w:hAnsi="Arial"/>
                <w:b w:val="0"/>
                <w:sz w:val="17"/>
              </w:rPr>
              <w:t>A02</w:t>
            </w:r>
          </w:p>
        </w:tc>
      </w:tr>
      <w:tr>
        <w:tc>
          <w:tcPr>
            <w:tcW w:type="dxa" w:w="2880"/>
            <w:vAlign w:val="center"/>
          </w:tcPr>
          <w:p>
            <w:r/>
            <w:r>
              <w:rPr>
                <w:rFonts w:ascii="Arial" w:hAnsi="Arial"/>
                <w:b w:val="0"/>
                <w:sz w:val="17"/>
              </w:rPr>
              <w:t>metadata_data_type</w:t>
            </w:r>
          </w:p>
        </w:tc>
        <w:tc>
          <w:tcPr>
            <w:tcW w:type="dxa" w:w="6624"/>
            <w:vAlign w:val="center"/>
          </w:tcPr>
          <w:p>
            <w:r/>
            <w:r>
              <w:rPr>
                <w:rFonts w:ascii="Arial" w:hAnsi="Arial"/>
                <w:b w:val="0"/>
                <w:sz w:val="17"/>
              </w:rPr>
              <w:t>Official technical storage type from the CBMS metadata.</w:t>
            </w:r>
          </w:p>
        </w:tc>
        <w:tc>
          <w:tcPr>
            <w:tcW w:type="dxa" w:w="2880"/>
            <w:vAlign w:val="center"/>
          </w:tcPr>
          <w:p>
            <w:r/>
            <w:r>
              <w:rPr>
                <w:rFonts w:ascii="Arial" w:hAnsi="Arial"/>
                <w:b w:val="0"/>
                <w:sz w:val="17"/>
              </w:rPr>
              <w:t>Numeric</w:t>
            </w:r>
          </w:p>
        </w:tc>
      </w:tr>
      <w:tr>
        <w:tc>
          <w:tcPr>
            <w:tcW w:type="dxa" w:w="2880"/>
            <w:vAlign w:val="center"/>
          </w:tcPr>
          <w:p>
            <w:r/>
            <w:r>
              <w:rPr>
                <w:rFonts w:ascii="Arial" w:hAnsi="Arial"/>
                <w:b w:val="0"/>
                <w:sz w:val="17"/>
              </w:rPr>
              <w:t>metadata_length</w:t>
            </w:r>
          </w:p>
        </w:tc>
        <w:tc>
          <w:tcPr>
            <w:tcW w:type="dxa" w:w="6624"/>
            <w:vAlign w:val="center"/>
          </w:tcPr>
          <w:p>
            <w:r/>
            <w:r>
              <w:rPr>
                <w:rFonts w:ascii="Arial" w:hAnsi="Arial"/>
                <w:b w:val="0"/>
                <w:sz w:val="17"/>
              </w:rPr>
              <w:t>Expected field length from metadata; useful for validation and preserving code format.</w:t>
            </w:r>
          </w:p>
        </w:tc>
        <w:tc>
          <w:tcPr>
            <w:tcW w:type="dxa" w:w="2880"/>
            <w:vAlign w:val="center"/>
          </w:tcPr>
          <w:p>
            <w:r/>
            <w:r>
              <w:rPr>
                <w:rFonts w:ascii="Arial" w:hAnsi="Arial"/>
                <w:b w:val="0"/>
                <w:sz w:val="17"/>
              </w:rPr>
              <w:t>8 for detailed education codes</w:t>
            </w:r>
          </w:p>
        </w:tc>
      </w:tr>
      <w:tr>
        <w:tc>
          <w:tcPr>
            <w:tcW w:type="dxa" w:w="2880"/>
            <w:vAlign w:val="center"/>
          </w:tcPr>
          <w:p>
            <w:r/>
            <w:r>
              <w:rPr>
                <w:rFonts w:ascii="Arial" w:hAnsi="Arial"/>
                <w:b w:val="0"/>
                <w:sz w:val="17"/>
              </w:rPr>
              <w:t>metadata_decimal</w:t>
            </w:r>
          </w:p>
        </w:tc>
        <w:tc>
          <w:tcPr>
            <w:tcW w:type="dxa" w:w="6624"/>
            <w:vAlign w:val="center"/>
          </w:tcPr>
          <w:p>
            <w:r/>
            <w:r>
              <w:rPr>
                <w:rFonts w:ascii="Arial" w:hAnsi="Arial"/>
                <w:b w:val="0"/>
                <w:sz w:val="17"/>
              </w:rPr>
              <w:t>Expected decimal precision from metadata.</w:t>
            </w:r>
          </w:p>
        </w:tc>
        <w:tc>
          <w:tcPr>
            <w:tcW w:type="dxa" w:w="2880"/>
            <w:vAlign w:val="center"/>
          </w:tcPr>
          <w:p>
            <w:r/>
            <w:r>
              <w:rPr>
                <w:rFonts w:ascii="Arial" w:hAnsi="Arial"/>
                <w:b w:val="0"/>
                <w:sz w:val="17"/>
              </w:rPr>
              <w:t>0</w:t>
            </w:r>
          </w:p>
        </w:tc>
      </w:tr>
      <w:tr>
        <w:tc>
          <w:tcPr>
            <w:tcW w:type="dxa" w:w="2880"/>
            <w:vAlign w:val="center"/>
          </w:tcPr>
          <w:p>
            <w:r/>
            <w:r>
              <w:rPr>
                <w:rFonts w:ascii="Arial" w:hAnsi="Arial"/>
                <w:b w:val="0"/>
                <w:sz w:val="17"/>
              </w:rPr>
              <w:t>metadata_scale</w:t>
            </w:r>
          </w:p>
        </w:tc>
        <w:tc>
          <w:tcPr>
            <w:tcW w:type="dxa" w:w="6624"/>
            <w:vAlign w:val="center"/>
          </w:tcPr>
          <w:p>
            <w:r/>
            <w:r>
              <w:rPr>
                <w:rFonts w:ascii="Arial" w:hAnsi="Arial"/>
                <w:b w:val="0"/>
                <w:sz w:val="17"/>
              </w:rPr>
              <w:t>Official measurement scale such as Nominal, Ordinal, or Ratio.</w:t>
            </w:r>
          </w:p>
        </w:tc>
        <w:tc>
          <w:tcPr>
            <w:tcW w:type="dxa" w:w="2880"/>
            <w:vAlign w:val="center"/>
          </w:tcPr>
          <w:p>
            <w:r/>
            <w:r>
              <w:rPr>
                <w:rFonts w:ascii="Arial" w:hAnsi="Arial"/>
                <w:b w:val="0"/>
                <w:sz w:val="17"/>
              </w:rPr>
              <w:t>Nominal</w:t>
            </w:r>
          </w:p>
        </w:tc>
      </w:tr>
      <w:tr>
        <w:tc>
          <w:tcPr>
            <w:tcW w:type="dxa" w:w="2880"/>
            <w:vAlign w:val="center"/>
          </w:tcPr>
          <w:p>
            <w:r/>
            <w:r>
              <w:rPr>
                <w:rFonts w:ascii="Arial" w:hAnsi="Arial"/>
                <w:b w:val="0"/>
                <w:sz w:val="17"/>
              </w:rPr>
              <w:t>practical_type</w:t>
            </w:r>
          </w:p>
        </w:tc>
        <w:tc>
          <w:tcPr>
            <w:tcW w:type="dxa" w:w="6624"/>
            <w:vAlign w:val="center"/>
          </w:tcPr>
          <w:p>
            <w:r/>
            <w:r>
              <w:rPr>
                <w:rFonts w:ascii="Arial" w:hAnsi="Arial"/>
                <w:b w:val="0"/>
                <w:sz w:val="17"/>
              </w:rPr>
              <w:t>Tanglaw-Buhay's simpler interpretation of what the value represents.</w:t>
            </w:r>
          </w:p>
        </w:tc>
        <w:tc>
          <w:tcPr>
            <w:tcW w:type="dxa" w:w="2880"/>
            <w:vAlign w:val="center"/>
          </w:tcPr>
          <w:p>
            <w:r/>
            <w:r>
              <w:rPr>
                <w:rFonts w:ascii="Arial" w:hAnsi="Arial"/>
                <w:b w:val="0"/>
                <w:sz w:val="17"/>
              </w:rPr>
              <w:t>coded_category</w:t>
            </w:r>
          </w:p>
        </w:tc>
      </w:tr>
      <w:tr>
        <w:tc>
          <w:tcPr>
            <w:tcW w:type="dxa" w:w="2880"/>
            <w:vAlign w:val="center"/>
          </w:tcPr>
          <w:p>
            <w:r/>
            <w:r>
              <w:rPr>
                <w:rFonts w:ascii="Arial" w:hAnsi="Arial"/>
                <w:b w:val="0"/>
                <w:sz w:val="17"/>
              </w:rPr>
              <w:t>needs_translation</w:t>
            </w:r>
          </w:p>
        </w:tc>
        <w:tc>
          <w:tcPr>
            <w:tcW w:type="dxa" w:w="6624"/>
            <w:vAlign w:val="center"/>
          </w:tcPr>
          <w:p>
            <w:r/>
            <w:r>
              <w:rPr>
                <w:rFonts w:ascii="Arial" w:hAnsi="Arial"/>
                <w:b w:val="0"/>
                <w:sz w:val="17"/>
              </w:rPr>
              <w:t>Yes if a raw code needs a human-readable codebook label.</w:t>
            </w:r>
          </w:p>
        </w:tc>
        <w:tc>
          <w:tcPr>
            <w:tcW w:type="dxa" w:w="2880"/>
            <w:vAlign w:val="center"/>
          </w:tcPr>
          <w:p>
            <w:r/>
            <w:r>
              <w:rPr>
                <w:rFonts w:ascii="Arial" w:hAnsi="Arial"/>
                <w:b w:val="0"/>
                <w:sz w:val="17"/>
              </w:rPr>
              <w:t>A05_SEX = 2 needs translation to Female</w:t>
            </w:r>
          </w:p>
        </w:tc>
      </w:tr>
      <w:tr>
        <w:tc>
          <w:tcPr>
            <w:tcW w:type="dxa" w:w="2880"/>
            <w:vAlign w:val="center"/>
          </w:tcPr>
          <w:p>
            <w:r/>
            <w:r>
              <w:rPr>
                <w:rFonts w:ascii="Arial" w:hAnsi="Arial"/>
                <w:b w:val="0"/>
                <w:sz w:val="17"/>
              </w:rPr>
              <w:t>needs_member_resolution</w:t>
            </w:r>
          </w:p>
        </w:tc>
        <w:tc>
          <w:tcPr>
            <w:tcW w:type="dxa" w:w="6624"/>
            <w:vAlign w:val="center"/>
          </w:tcPr>
          <w:p>
            <w:r/>
            <w:r>
              <w:rPr>
                <w:rFonts w:ascii="Arial" w:hAnsi="Arial"/>
                <w:b w:val="0"/>
                <w:sz w:val="17"/>
              </w:rPr>
              <w:t>Yes if the value points to another member by LINE_NUMBER instead of representing a category.</w:t>
            </w:r>
          </w:p>
        </w:tc>
        <w:tc>
          <w:tcPr>
            <w:tcW w:type="dxa" w:w="2880"/>
            <w:vAlign w:val="center"/>
          </w:tcPr>
          <w:p>
            <w:r/>
            <w:r>
              <w:rPr>
                <w:rFonts w:ascii="Arial" w:hAnsi="Arial"/>
                <w:b w:val="0"/>
                <w:sz w:val="17"/>
              </w:rPr>
              <w:t>L16_PWD = 03 points to member 03</w:t>
            </w:r>
          </w:p>
        </w:tc>
      </w:tr>
      <w:tr>
        <w:tc>
          <w:tcPr>
            <w:tcW w:type="dxa" w:w="2880"/>
            <w:vAlign w:val="center"/>
          </w:tcPr>
          <w:p>
            <w:r/>
            <w:r>
              <w:rPr>
                <w:rFonts w:ascii="Arial" w:hAnsi="Arial"/>
                <w:b w:val="0"/>
                <w:sz w:val="17"/>
              </w:rPr>
              <w:t>display_handling</w:t>
            </w:r>
          </w:p>
        </w:tc>
        <w:tc>
          <w:tcPr>
            <w:tcW w:type="dxa" w:w="6624"/>
            <w:vAlign w:val="center"/>
          </w:tcPr>
          <w:p>
            <w:r/>
            <w:r>
              <w:rPr>
                <w:rFonts w:ascii="Arial" w:hAnsi="Arial"/>
                <w:b w:val="0"/>
                <w:sz w:val="17"/>
              </w:rPr>
              <w:t>Instruction for how the application should interpret the value before display.</w:t>
            </w:r>
          </w:p>
        </w:tc>
        <w:tc>
          <w:tcPr>
            <w:tcW w:type="dxa" w:w="2880"/>
            <w:vAlign w:val="center"/>
          </w:tcPr>
          <w:p>
            <w:r/>
            <w:r>
              <w:rPr>
                <w:rFonts w:ascii="Arial" w:hAnsi="Arial"/>
                <w:b w:val="0"/>
                <w:sz w:val="17"/>
              </w:rPr>
              <w:t>codebook_lookup</w:t>
            </w:r>
          </w:p>
        </w:tc>
      </w:tr>
      <w:tr>
        <w:tc>
          <w:tcPr>
            <w:tcW w:type="dxa" w:w="2880"/>
            <w:vAlign w:val="center"/>
          </w:tcPr>
          <w:p>
            <w:r/>
            <w:r>
              <w:rPr>
                <w:rFonts w:ascii="Arial" w:hAnsi="Arial"/>
                <w:b w:val="0"/>
                <w:sz w:val="17"/>
              </w:rPr>
              <w:t>review_status</w:t>
            </w:r>
          </w:p>
        </w:tc>
        <w:tc>
          <w:tcPr>
            <w:tcW w:type="dxa" w:w="6624"/>
            <w:vAlign w:val="center"/>
          </w:tcPr>
          <w:p>
            <w:r/>
            <w:r>
              <w:rPr>
                <w:rFonts w:ascii="Arial" w:hAnsi="Arial"/>
                <w:b w:val="0"/>
                <w:sz w:val="17"/>
              </w:rPr>
              <w:t>Shows whether the current classification is accepted or still needs review.</w:t>
            </w:r>
          </w:p>
        </w:tc>
        <w:tc>
          <w:tcPr>
            <w:tcW w:type="dxa" w:w="2880"/>
            <w:vAlign w:val="center"/>
          </w:tcPr>
          <w:p>
            <w:r/>
            <w:r>
              <w:rPr>
                <w:rFonts w:ascii="Arial" w:hAnsi="Arial"/>
                <w:b w:val="0"/>
                <w:sz w:val="17"/>
              </w:rPr>
              <w:t>classified / needs_review</w:t>
            </w:r>
          </w:p>
        </w:tc>
      </w:tr>
      <w:tr>
        <w:tc>
          <w:tcPr>
            <w:tcW w:type="dxa" w:w="2880"/>
            <w:vAlign w:val="center"/>
          </w:tcPr>
          <w:p>
            <w:r/>
            <w:r>
              <w:rPr>
                <w:rFonts w:ascii="Arial" w:hAnsi="Arial"/>
                <w:b w:val="0"/>
                <w:sz w:val="17"/>
              </w:rPr>
              <w:t>notes</w:t>
            </w:r>
          </w:p>
        </w:tc>
        <w:tc>
          <w:tcPr>
            <w:tcW w:type="dxa" w:w="6624"/>
            <w:vAlign w:val="center"/>
          </w:tcPr>
          <w:p>
            <w:r/>
            <w:r>
              <w:rPr>
                <w:rFonts w:ascii="Arial" w:hAnsi="Arial"/>
                <w:b w:val="0"/>
                <w:sz w:val="17"/>
              </w:rPr>
              <w:t>Warnings or special handling instructions for developers.</w:t>
            </w:r>
          </w:p>
        </w:tc>
        <w:tc>
          <w:tcPr>
            <w:tcW w:type="dxa" w:w="2880"/>
            <w:vAlign w:val="center"/>
          </w:tcPr>
          <w:p>
            <w:r/>
            <w:r>
              <w:rPr>
                <w:rFonts w:ascii="Arial" w:hAnsi="Arial"/>
                <w:b w:val="0"/>
                <w:sz w:val="17"/>
              </w:rPr>
              <w:t>Preserve leading zeros</w:t>
            </w:r>
          </w:p>
        </w:tc>
      </w:tr>
    </w:tbl>
    <w:p>
      <w:pPr>
        <w:pStyle w:val="Heading1"/>
      </w:pPr>
      <w:r>
        <w:t>4. Practical types used in variable_definitions.csv</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rFonts w:ascii="Arial" w:hAnsi="Arial"/>
                <w:b/>
                <w:sz w:val="17"/>
              </w:rPr>
              <w:t>Practical type</w:t>
            </w:r>
          </w:p>
        </w:tc>
        <w:tc>
          <w:tcPr>
            <w:tcW w:type="dxa" w:w="7056"/>
            <w:vAlign w:val="center"/>
            <w:shd w:fill="D9EAF7"/>
          </w:tcPr>
          <w:p>
            <w:r/>
            <w:r>
              <w:rPr>
                <w:rFonts w:ascii="Arial" w:hAnsi="Arial"/>
                <w:b/>
                <w:sz w:val="17"/>
              </w:rPr>
              <w:t>Easy meaning</w:t>
            </w:r>
          </w:p>
        </w:tc>
        <w:tc>
          <w:tcPr>
            <w:tcW w:type="dxa" w:w="2880"/>
            <w:vAlign w:val="center"/>
            <w:shd w:fill="D9EAF7"/>
          </w:tcPr>
          <w:p>
            <w:r/>
            <w:r>
              <w:rPr>
                <w:rFonts w:ascii="Arial" w:hAnsi="Arial"/>
                <w:b/>
                <w:sz w:val="17"/>
              </w:rPr>
              <w:t>Example</w:t>
            </w:r>
          </w:p>
        </w:tc>
      </w:tr>
      <w:tr>
        <w:tc>
          <w:tcPr>
            <w:tcW w:type="dxa" w:w="2592"/>
            <w:vAlign w:val="center"/>
          </w:tcPr>
          <w:p>
            <w:r/>
            <w:r>
              <w:rPr>
                <w:rFonts w:ascii="Arial" w:hAnsi="Arial"/>
                <w:b w:val="0"/>
                <w:sz w:val="17"/>
              </w:rPr>
              <w:t>identifier</w:t>
            </w:r>
          </w:p>
        </w:tc>
        <w:tc>
          <w:tcPr>
            <w:tcW w:type="dxa" w:w="7056"/>
            <w:vAlign w:val="center"/>
          </w:tcPr>
          <w:p>
            <w:r/>
            <w:r>
              <w:rPr>
                <w:rFonts w:ascii="Arial" w:hAnsi="Arial"/>
                <w:b w:val="0"/>
                <w:sz w:val="17"/>
              </w:rPr>
              <w:t>Identifies a record or member position.</w:t>
            </w:r>
          </w:p>
        </w:tc>
        <w:tc>
          <w:tcPr>
            <w:tcW w:type="dxa" w:w="2880"/>
            <w:vAlign w:val="center"/>
          </w:tcPr>
          <w:p>
            <w:r/>
            <w:r>
              <w:rPr>
                <w:rFonts w:ascii="Arial" w:hAnsi="Arial"/>
                <w:b w:val="0"/>
                <w:sz w:val="17"/>
              </w:rPr>
              <w:t>LINE_NUMBER</w:t>
            </w:r>
          </w:p>
        </w:tc>
      </w:tr>
      <w:tr>
        <w:tc>
          <w:tcPr>
            <w:tcW w:type="dxa" w:w="2592"/>
            <w:vAlign w:val="center"/>
          </w:tcPr>
          <w:p>
            <w:r/>
            <w:r>
              <w:rPr>
                <w:rFonts w:ascii="Arial" w:hAnsi="Arial"/>
                <w:b w:val="0"/>
                <w:sz w:val="17"/>
              </w:rPr>
              <w:t>text</w:t>
            </w:r>
          </w:p>
        </w:tc>
        <w:tc>
          <w:tcPr>
            <w:tcW w:type="dxa" w:w="7056"/>
            <w:vAlign w:val="center"/>
          </w:tcPr>
          <w:p>
            <w:r/>
            <w:r>
              <w:rPr>
                <w:rFonts w:ascii="Arial" w:hAnsi="Arial"/>
                <w:b w:val="0"/>
                <w:sz w:val="17"/>
              </w:rPr>
              <w:t>Ordinary text; normally displayed directly.</w:t>
            </w:r>
          </w:p>
        </w:tc>
        <w:tc>
          <w:tcPr>
            <w:tcW w:type="dxa" w:w="2880"/>
            <w:vAlign w:val="center"/>
          </w:tcPr>
          <w:p>
            <w:r/>
            <w:r>
              <w:rPr>
                <w:rFonts w:ascii="Arial" w:hAnsi="Arial"/>
                <w:b w:val="0"/>
                <w:sz w:val="17"/>
              </w:rPr>
              <w:t>A01_LAST_NAME</w:t>
            </w:r>
          </w:p>
        </w:tc>
      </w:tr>
      <w:tr>
        <w:tc>
          <w:tcPr>
            <w:tcW w:type="dxa" w:w="2592"/>
            <w:vAlign w:val="center"/>
          </w:tcPr>
          <w:p>
            <w:r/>
            <w:r>
              <w:rPr>
                <w:rFonts w:ascii="Arial" w:hAnsi="Arial"/>
                <w:b w:val="0"/>
                <w:sz w:val="17"/>
              </w:rPr>
              <w:t>number</w:t>
            </w:r>
          </w:p>
        </w:tc>
        <w:tc>
          <w:tcPr>
            <w:tcW w:type="dxa" w:w="7056"/>
            <w:vAlign w:val="center"/>
          </w:tcPr>
          <w:p>
            <w:r/>
            <w:r>
              <w:rPr>
                <w:rFonts w:ascii="Arial" w:hAnsi="Arial"/>
                <w:b w:val="0"/>
                <w:sz w:val="17"/>
              </w:rPr>
              <w:t>The numeric value itself has meaning.</w:t>
            </w:r>
          </w:p>
        </w:tc>
        <w:tc>
          <w:tcPr>
            <w:tcW w:type="dxa" w:w="2880"/>
            <w:vAlign w:val="center"/>
          </w:tcPr>
          <w:p>
            <w:r/>
            <w:r>
              <w:rPr>
                <w:rFonts w:ascii="Arial" w:hAnsi="Arial"/>
                <w:b w:val="0"/>
                <w:sz w:val="17"/>
              </w:rPr>
              <w:t>A07_AGE = 45</w:t>
            </w:r>
          </w:p>
        </w:tc>
      </w:tr>
      <w:tr>
        <w:tc>
          <w:tcPr>
            <w:tcW w:type="dxa" w:w="2592"/>
            <w:vAlign w:val="center"/>
          </w:tcPr>
          <w:p>
            <w:r/>
            <w:r>
              <w:rPr>
                <w:rFonts w:ascii="Arial" w:hAnsi="Arial"/>
                <w:b w:val="0"/>
                <w:sz w:val="17"/>
              </w:rPr>
              <w:t>yes_no_code</w:t>
            </w:r>
          </w:p>
        </w:tc>
        <w:tc>
          <w:tcPr>
            <w:tcW w:type="dxa" w:w="7056"/>
            <w:vAlign w:val="center"/>
          </w:tcPr>
          <w:p>
            <w:r/>
            <w:r>
              <w:rPr>
                <w:rFonts w:ascii="Arial" w:hAnsi="Arial"/>
                <w:b w:val="0"/>
                <w:sz w:val="17"/>
              </w:rPr>
              <w:t>Mainly a Yes/No response, sometimes with extra official choices such as Don't Know.</w:t>
            </w:r>
          </w:p>
        </w:tc>
        <w:tc>
          <w:tcPr>
            <w:tcW w:type="dxa" w:w="2880"/>
            <w:vAlign w:val="center"/>
          </w:tcPr>
          <w:p>
            <w:r/>
            <w:r>
              <w:rPr>
                <w:rFonts w:ascii="Arial" w:hAnsi="Arial"/>
                <w:b w:val="0"/>
                <w:sz w:val="17"/>
              </w:rPr>
              <w:t>L15_WITH_PWD_MEMBER</w:t>
            </w:r>
          </w:p>
        </w:tc>
      </w:tr>
      <w:tr>
        <w:tc>
          <w:tcPr>
            <w:tcW w:type="dxa" w:w="2592"/>
            <w:vAlign w:val="center"/>
          </w:tcPr>
          <w:p>
            <w:r/>
            <w:r>
              <w:rPr>
                <w:rFonts w:ascii="Arial" w:hAnsi="Arial"/>
                <w:b w:val="0"/>
                <w:sz w:val="17"/>
              </w:rPr>
              <w:t>coded_category</w:t>
            </w:r>
          </w:p>
        </w:tc>
        <w:tc>
          <w:tcPr>
            <w:tcW w:type="dxa" w:w="7056"/>
            <w:vAlign w:val="center"/>
          </w:tcPr>
          <w:p>
            <w:r/>
            <w:r>
              <w:rPr>
                <w:rFonts w:ascii="Arial" w:hAnsi="Arial"/>
                <w:b w:val="0"/>
                <w:sz w:val="17"/>
              </w:rPr>
              <w:t>One code represents one category from several choices.</w:t>
            </w:r>
          </w:p>
        </w:tc>
        <w:tc>
          <w:tcPr>
            <w:tcW w:type="dxa" w:w="2880"/>
            <w:vAlign w:val="center"/>
          </w:tcPr>
          <w:p>
            <w:r/>
            <w:r>
              <w:rPr>
                <w:rFonts w:ascii="Arial" w:hAnsi="Arial"/>
                <w:b w:val="0"/>
                <w:sz w:val="17"/>
              </w:rPr>
              <w:t>03 = Son</w:t>
            </w:r>
          </w:p>
        </w:tc>
      </w:tr>
      <w:tr>
        <w:tc>
          <w:tcPr>
            <w:tcW w:type="dxa" w:w="2592"/>
            <w:vAlign w:val="center"/>
          </w:tcPr>
          <w:p>
            <w:r/>
            <w:r>
              <w:rPr>
                <w:rFonts w:ascii="Arial" w:hAnsi="Arial"/>
                <w:b w:val="0"/>
                <w:sz w:val="17"/>
              </w:rPr>
              <w:t>member_reference</w:t>
            </w:r>
          </w:p>
        </w:tc>
        <w:tc>
          <w:tcPr>
            <w:tcW w:type="dxa" w:w="7056"/>
            <w:vAlign w:val="center"/>
          </w:tcPr>
          <w:p>
            <w:r/>
            <w:r>
              <w:rPr>
                <w:rFonts w:ascii="Arial" w:hAnsi="Arial"/>
                <w:b w:val="0"/>
                <w:sz w:val="17"/>
              </w:rPr>
              <w:t>The value points to a household member's LINE_NUMBER.</w:t>
            </w:r>
          </w:p>
        </w:tc>
        <w:tc>
          <w:tcPr>
            <w:tcW w:type="dxa" w:w="2880"/>
            <w:vAlign w:val="center"/>
          </w:tcPr>
          <w:p>
            <w:r/>
            <w:r>
              <w:rPr>
                <w:rFonts w:ascii="Arial" w:hAnsi="Arial"/>
                <w:b w:val="0"/>
                <w:sz w:val="17"/>
              </w:rPr>
              <w:t>L16_PWD = 03</w:t>
            </w:r>
          </w:p>
        </w:tc>
      </w:tr>
      <w:tr>
        <w:tc>
          <w:tcPr>
            <w:tcW w:type="dxa" w:w="2592"/>
            <w:vAlign w:val="center"/>
          </w:tcPr>
          <w:p>
            <w:r/>
            <w:r>
              <w:rPr>
                <w:rFonts w:ascii="Arial" w:hAnsi="Arial"/>
                <w:b w:val="0"/>
                <w:sz w:val="17"/>
              </w:rPr>
              <w:t>multi_select_code</w:t>
            </w:r>
          </w:p>
        </w:tc>
        <w:tc>
          <w:tcPr>
            <w:tcW w:type="dxa" w:w="7056"/>
            <w:vAlign w:val="center"/>
          </w:tcPr>
          <w:p>
            <w:r/>
            <w:r>
              <w:rPr>
                <w:rFonts w:ascii="Arial" w:hAnsi="Arial"/>
                <w:b w:val="0"/>
                <w:sz w:val="17"/>
              </w:rPr>
              <w:t>Several coded choices can be stored together.</w:t>
            </w:r>
          </w:p>
        </w:tc>
        <w:tc>
          <w:tcPr>
            <w:tcW w:type="dxa" w:w="2880"/>
            <w:vAlign w:val="center"/>
          </w:tcPr>
          <w:p>
            <w:r/>
            <w:r>
              <w:rPr>
                <w:rFonts w:ascii="Arial" w:hAnsi="Arial"/>
                <w:b w:val="0"/>
                <w:sz w:val="17"/>
              </w:rPr>
              <w:t>L40 = AEH</w:t>
            </w:r>
          </w:p>
        </w:tc>
      </w:tr>
    </w:tbl>
    <w:p>
      <w:pPr>
        <w:pStyle w:val="Heading1"/>
      </w:pPr>
      <w:r>
        <w:t>5. Display-handling values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rFonts w:ascii="Arial" w:hAnsi="Arial"/>
                <w:b/>
                <w:sz w:val="17"/>
              </w:rPr>
              <w:t>display_handling</w:t>
            </w:r>
          </w:p>
        </w:tc>
        <w:tc>
          <w:tcPr>
            <w:tcW w:type="dxa" w:w="6912"/>
            <w:vAlign w:val="center"/>
            <w:shd w:fill="D9EAF7"/>
          </w:tcPr>
          <w:p>
            <w:r/>
            <w:r>
              <w:rPr>
                <w:rFonts w:ascii="Arial" w:hAnsi="Arial"/>
                <w:b/>
                <w:sz w:val="17"/>
              </w:rPr>
              <w:t>Meaning</w:t>
            </w:r>
          </w:p>
        </w:tc>
        <w:tc>
          <w:tcPr>
            <w:tcW w:type="dxa" w:w="2880"/>
            <w:vAlign w:val="center"/>
            <w:shd w:fill="D9EAF7"/>
          </w:tcPr>
          <w:p>
            <w:r/>
            <w:r>
              <w:rPr>
                <w:rFonts w:ascii="Arial" w:hAnsi="Arial"/>
                <w:b/>
                <w:sz w:val="17"/>
              </w:rPr>
              <w:t>Example</w:t>
            </w:r>
          </w:p>
        </w:tc>
      </w:tr>
      <w:tr>
        <w:tc>
          <w:tcPr>
            <w:tcW w:type="dxa" w:w="2880"/>
            <w:vAlign w:val="center"/>
          </w:tcPr>
          <w:p>
            <w:r/>
            <w:r>
              <w:rPr>
                <w:rFonts w:ascii="Arial" w:hAnsi="Arial"/>
                <w:b w:val="0"/>
                <w:sz w:val="17"/>
              </w:rPr>
              <w:t>direct</w:t>
            </w:r>
          </w:p>
        </w:tc>
        <w:tc>
          <w:tcPr>
            <w:tcW w:type="dxa" w:w="6912"/>
            <w:vAlign w:val="center"/>
          </w:tcPr>
          <w:p>
            <w:r/>
            <w:r>
              <w:rPr>
                <w:rFonts w:ascii="Arial" w:hAnsi="Arial"/>
                <w:b w:val="0"/>
                <w:sz w:val="17"/>
              </w:rPr>
              <w:t>Use/show the value directly.</w:t>
            </w:r>
          </w:p>
        </w:tc>
        <w:tc>
          <w:tcPr>
            <w:tcW w:type="dxa" w:w="2880"/>
            <w:vAlign w:val="center"/>
          </w:tcPr>
          <w:p>
            <w:r/>
            <w:r>
              <w:rPr>
                <w:rFonts w:ascii="Arial" w:hAnsi="Arial"/>
                <w:b w:val="0"/>
                <w:sz w:val="17"/>
              </w:rPr>
              <w:t>Age 45 remains 45.</w:t>
            </w:r>
          </w:p>
        </w:tc>
      </w:tr>
      <w:tr>
        <w:tc>
          <w:tcPr>
            <w:tcW w:type="dxa" w:w="2880"/>
            <w:vAlign w:val="center"/>
          </w:tcPr>
          <w:p>
            <w:r/>
            <w:r>
              <w:rPr>
                <w:rFonts w:ascii="Arial" w:hAnsi="Arial"/>
                <w:b w:val="0"/>
                <w:sz w:val="17"/>
              </w:rPr>
              <w:t>codebook_lookup</w:t>
            </w:r>
          </w:p>
        </w:tc>
        <w:tc>
          <w:tcPr>
            <w:tcW w:type="dxa" w:w="6912"/>
            <w:vAlign w:val="center"/>
          </w:tcPr>
          <w:p>
            <w:r/>
            <w:r>
              <w:rPr>
                <w:rFonts w:ascii="Arial" w:hAnsi="Arial"/>
                <w:b w:val="0"/>
                <w:sz w:val="17"/>
              </w:rPr>
              <w:t>Look up one code in codebook_values.csv.</w:t>
            </w:r>
          </w:p>
        </w:tc>
        <w:tc>
          <w:tcPr>
            <w:tcW w:type="dxa" w:w="2880"/>
            <w:vAlign w:val="center"/>
          </w:tcPr>
          <w:p>
            <w:r/>
            <w:r>
              <w:rPr>
                <w:rFonts w:ascii="Arial" w:hAnsi="Arial"/>
                <w:b w:val="0"/>
                <w:sz w:val="17"/>
              </w:rPr>
              <w:t>A05_SEX: 2 -&gt; Female</w:t>
            </w:r>
          </w:p>
        </w:tc>
      </w:tr>
      <w:tr>
        <w:tc>
          <w:tcPr>
            <w:tcW w:type="dxa" w:w="2880"/>
            <w:vAlign w:val="center"/>
          </w:tcPr>
          <w:p>
            <w:r/>
            <w:r>
              <w:rPr>
                <w:rFonts w:ascii="Arial" w:hAnsi="Arial"/>
                <w:b w:val="0"/>
                <w:sz w:val="17"/>
              </w:rPr>
              <w:t>member_lookup</w:t>
            </w:r>
          </w:p>
        </w:tc>
        <w:tc>
          <w:tcPr>
            <w:tcW w:type="dxa" w:w="6912"/>
            <w:vAlign w:val="center"/>
          </w:tcPr>
          <w:p>
            <w:r/>
            <w:r>
              <w:rPr>
                <w:rFonts w:ascii="Arial" w:hAnsi="Arial"/>
                <w:b w:val="0"/>
                <w:sz w:val="17"/>
              </w:rPr>
              <w:t>Resolve the LINE_NUMBER inside the same household to a member/member ID.</w:t>
            </w:r>
          </w:p>
        </w:tc>
        <w:tc>
          <w:tcPr>
            <w:tcW w:type="dxa" w:w="2880"/>
            <w:vAlign w:val="center"/>
          </w:tcPr>
          <w:p>
            <w:r/>
            <w:r>
              <w:rPr>
                <w:rFonts w:ascii="Arial" w:hAnsi="Arial"/>
                <w:b w:val="0"/>
                <w:sz w:val="17"/>
              </w:rPr>
              <w:t>L16_PWD: 03 -&gt; household member 03</w:t>
            </w:r>
          </w:p>
        </w:tc>
      </w:tr>
      <w:tr>
        <w:tc>
          <w:tcPr>
            <w:tcW w:type="dxa" w:w="2880"/>
            <w:vAlign w:val="center"/>
          </w:tcPr>
          <w:p>
            <w:r/>
            <w:r>
              <w:rPr>
                <w:rFonts w:ascii="Arial" w:hAnsi="Arial"/>
                <w:b w:val="0"/>
                <w:sz w:val="17"/>
              </w:rPr>
              <w:t>multi_select_lookup</w:t>
            </w:r>
          </w:p>
        </w:tc>
        <w:tc>
          <w:tcPr>
            <w:tcW w:type="dxa" w:w="6912"/>
            <w:vAlign w:val="center"/>
          </w:tcPr>
          <w:p>
            <w:r/>
            <w:r>
              <w:rPr>
                <w:rFonts w:ascii="Arial" w:hAnsi="Arial"/>
                <w:b w:val="0"/>
                <w:sz w:val="17"/>
              </w:rPr>
              <w:t>Split a multi-select value into individual codes, then translate each one.</w:t>
            </w:r>
          </w:p>
        </w:tc>
        <w:tc>
          <w:tcPr>
            <w:tcW w:type="dxa" w:w="2880"/>
            <w:vAlign w:val="center"/>
          </w:tcPr>
          <w:p>
            <w:r/>
            <w:r>
              <w:rPr>
                <w:rFonts w:ascii="Arial" w:hAnsi="Arial"/>
                <w:b w:val="0"/>
                <w:sz w:val="17"/>
              </w:rPr>
              <w:t>AEH -&gt; A + E + H</w:t>
            </w:r>
          </w:p>
        </w:tc>
      </w:tr>
      <w:tr>
        <w:tc>
          <w:tcPr>
            <w:tcW w:type="dxa" w:w="2880"/>
            <w:vAlign w:val="center"/>
          </w:tcPr>
          <w:p>
            <w:r/>
            <w:r>
              <w:rPr>
                <w:rFonts w:ascii="Arial" w:hAnsi="Arial"/>
                <w:b w:val="0"/>
                <w:sz w:val="17"/>
              </w:rPr>
              <w:t>internal_identifier</w:t>
            </w:r>
          </w:p>
        </w:tc>
        <w:tc>
          <w:tcPr>
            <w:tcW w:type="dxa" w:w="6912"/>
            <w:vAlign w:val="center"/>
          </w:tcPr>
          <w:p>
            <w:r/>
            <w:r>
              <w:rPr>
                <w:rFonts w:ascii="Arial" w:hAnsi="Arial"/>
                <w:b w:val="0"/>
                <w:sz w:val="17"/>
              </w:rPr>
              <w:t>Treat as a technical identifier rather than a normal questionnaire response.</w:t>
            </w:r>
          </w:p>
        </w:tc>
        <w:tc>
          <w:tcPr>
            <w:tcW w:type="dxa" w:w="2880"/>
            <w:vAlign w:val="center"/>
          </w:tcPr>
          <w:p>
            <w:r/>
            <w:r>
              <w:rPr>
                <w:rFonts w:ascii="Arial" w:hAnsi="Arial"/>
                <w:b w:val="0"/>
                <w:sz w:val="17"/>
              </w:rPr>
              <w:t>LINE_NUMBER</w:t>
            </w:r>
          </w:p>
        </w:tc>
      </w:tr>
    </w:tbl>
    <w:p>
      <w:pPr>
        <w:pStyle w:val="Heading1"/>
      </w:pPr>
      <w:r>
        <w:t>6. File 2: codebook_values.csv</w:t>
      </w:r>
    </w:p>
    <w:p>
      <w:r>
        <w:t>This file contains the actual code-to-label translations. A variable can therefore appear on several rows: one row per possible code.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rFonts w:ascii="Arial" w:hAnsi="Arial"/>
                <w:b/>
                <w:sz w:val="17"/>
              </w:rPr>
              <w:t>Column</w:t>
            </w:r>
          </w:p>
        </w:tc>
        <w:tc>
          <w:tcPr>
            <w:tcW w:type="dxa" w:w="6624"/>
            <w:vAlign w:val="center"/>
            <w:shd w:fill="D9EAF7"/>
          </w:tcPr>
          <w:p>
            <w:r/>
            <w:r>
              <w:rPr>
                <w:rFonts w:ascii="Arial" w:hAnsi="Arial"/>
                <w:b/>
                <w:sz w:val="17"/>
              </w:rPr>
              <w:t>What it means</w:t>
            </w:r>
          </w:p>
        </w:tc>
        <w:tc>
          <w:tcPr>
            <w:tcW w:type="dxa" w:w="2880"/>
            <w:vAlign w:val="center"/>
            <w:shd w:fill="D9EAF7"/>
          </w:tcPr>
          <w:p>
            <w:r/>
            <w:r>
              <w:rPr>
                <w:rFonts w:ascii="Arial" w:hAnsi="Arial"/>
                <w:b/>
                <w:sz w:val="17"/>
              </w:rPr>
              <w:t>Example</w:t>
            </w:r>
          </w:p>
        </w:tc>
      </w:tr>
      <w:tr>
        <w:tc>
          <w:tcPr>
            <w:tcW w:type="dxa" w:w="2880"/>
            <w:vAlign w:val="center"/>
          </w:tcPr>
          <w:p>
            <w:r/>
            <w:r>
              <w:rPr>
                <w:rFonts w:ascii="Arial" w:hAnsi="Arial"/>
                <w:b w:val="0"/>
                <w:sz w:val="17"/>
              </w:rPr>
              <w:t>variable_name</w:t>
            </w:r>
          </w:p>
        </w:tc>
        <w:tc>
          <w:tcPr>
            <w:tcW w:type="dxa" w:w="6624"/>
            <w:vAlign w:val="center"/>
          </w:tcPr>
          <w:p>
            <w:r/>
            <w:r>
              <w:rPr>
                <w:rFonts w:ascii="Arial" w:hAnsi="Arial"/>
                <w:b w:val="0"/>
                <w:sz w:val="17"/>
              </w:rPr>
              <w:t>Technical variable whose code is being described.</w:t>
            </w:r>
          </w:p>
        </w:tc>
        <w:tc>
          <w:tcPr>
            <w:tcW w:type="dxa" w:w="2880"/>
            <w:vAlign w:val="center"/>
          </w:tcPr>
          <w:p>
            <w:r/>
            <w:r>
              <w:rPr>
                <w:rFonts w:ascii="Arial" w:hAnsi="Arial"/>
                <w:b w:val="0"/>
                <w:sz w:val="17"/>
              </w:rPr>
              <w:t>A05_SEX</w:t>
            </w:r>
          </w:p>
        </w:tc>
      </w:tr>
      <w:tr>
        <w:tc>
          <w:tcPr>
            <w:tcW w:type="dxa" w:w="2880"/>
            <w:vAlign w:val="center"/>
          </w:tcPr>
          <w:p>
            <w:r/>
            <w:r>
              <w:rPr>
                <w:rFonts w:ascii="Arial" w:hAnsi="Arial"/>
                <w:b w:val="0"/>
                <w:sz w:val="17"/>
              </w:rPr>
              <w:t>display_name</w:t>
            </w:r>
          </w:p>
        </w:tc>
        <w:tc>
          <w:tcPr>
            <w:tcW w:type="dxa" w:w="6624"/>
            <w:vAlign w:val="center"/>
          </w:tcPr>
          <w:p>
            <w:r/>
            <w:r>
              <w:rPr>
                <w:rFonts w:ascii="Arial" w:hAnsi="Arial"/>
                <w:b w:val="0"/>
                <w:sz w:val="17"/>
              </w:rPr>
              <w:t>Human-readable description of that variable.</w:t>
            </w:r>
          </w:p>
        </w:tc>
        <w:tc>
          <w:tcPr>
            <w:tcW w:type="dxa" w:w="2880"/>
            <w:vAlign w:val="center"/>
          </w:tcPr>
          <w:p>
            <w:r/>
            <w:r>
              <w:rPr>
                <w:rFonts w:ascii="Arial" w:hAnsi="Arial"/>
                <w:b w:val="0"/>
                <w:sz w:val="17"/>
              </w:rPr>
              <w:t>Sex</w:t>
            </w:r>
          </w:p>
        </w:tc>
      </w:tr>
      <w:tr>
        <w:tc>
          <w:tcPr>
            <w:tcW w:type="dxa" w:w="2880"/>
            <w:vAlign w:val="center"/>
          </w:tcPr>
          <w:p>
            <w:r/>
            <w:r>
              <w:rPr>
                <w:rFonts w:ascii="Arial" w:hAnsi="Arial"/>
                <w:b w:val="0"/>
                <w:sz w:val="17"/>
              </w:rPr>
              <w:t>source_section</w:t>
            </w:r>
          </w:p>
        </w:tc>
        <w:tc>
          <w:tcPr>
            <w:tcW w:type="dxa" w:w="6624"/>
            <w:vAlign w:val="center"/>
          </w:tcPr>
          <w:p>
            <w:r/>
            <w:r>
              <w:rPr>
                <w:rFonts w:ascii="Arial" w:hAnsi="Arial"/>
                <w:b w:val="0"/>
                <w:sz w:val="17"/>
              </w:rPr>
              <w:t>CBMS section where the variable belongs.</w:t>
            </w:r>
          </w:p>
        </w:tc>
        <w:tc>
          <w:tcPr>
            <w:tcW w:type="dxa" w:w="2880"/>
            <w:vAlign w:val="center"/>
          </w:tcPr>
          <w:p>
            <w:r/>
            <w:r>
              <w:rPr>
                <w:rFonts w:ascii="Arial" w:hAnsi="Arial"/>
                <w:b w:val="0"/>
                <w:sz w:val="17"/>
              </w:rPr>
              <w:t>A</w:t>
            </w:r>
          </w:p>
        </w:tc>
      </w:tr>
      <w:tr>
        <w:tc>
          <w:tcPr>
            <w:tcW w:type="dxa" w:w="2880"/>
            <w:vAlign w:val="center"/>
          </w:tcPr>
          <w:p>
            <w:r/>
            <w:r>
              <w:rPr>
                <w:rFonts w:ascii="Arial" w:hAnsi="Arial"/>
                <w:b w:val="0"/>
                <w:sz w:val="17"/>
              </w:rPr>
              <w:t>cbms_item</w:t>
            </w:r>
          </w:p>
        </w:tc>
        <w:tc>
          <w:tcPr>
            <w:tcW w:type="dxa" w:w="6624"/>
            <w:vAlign w:val="center"/>
          </w:tcPr>
          <w:p>
            <w:r/>
            <w:r>
              <w:rPr>
                <w:rFonts w:ascii="Arial" w:hAnsi="Arial"/>
                <w:b w:val="0"/>
                <w:sz w:val="17"/>
              </w:rPr>
              <w:t>Question/item identifier used to trace the mapping to the questionnaire.</w:t>
            </w:r>
          </w:p>
        </w:tc>
        <w:tc>
          <w:tcPr>
            <w:tcW w:type="dxa" w:w="2880"/>
            <w:vAlign w:val="center"/>
          </w:tcPr>
          <w:p>
            <w:r/>
            <w:r>
              <w:rPr>
                <w:rFonts w:ascii="Arial" w:hAnsi="Arial"/>
                <w:b w:val="0"/>
                <w:sz w:val="17"/>
              </w:rPr>
              <w:t>A05</w:t>
            </w:r>
          </w:p>
        </w:tc>
      </w:tr>
      <w:tr>
        <w:tc>
          <w:tcPr>
            <w:tcW w:type="dxa" w:w="2880"/>
            <w:vAlign w:val="center"/>
          </w:tcPr>
          <w:p>
            <w:r/>
            <w:r>
              <w:rPr>
                <w:rFonts w:ascii="Arial" w:hAnsi="Arial"/>
                <w:b w:val="0"/>
                <w:sz w:val="17"/>
              </w:rPr>
              <w:t>practical_type</w:t>
            </w:r>
          </w:p>
        </w:tc>
        <w:tc>
          <w:tcPr>
            <w:tcW w:type="dxa" w:w="6624"/>
            <w:vAlign w:val="center"/>
          </w:tcPr>
          <w:p>
            <w:r/>
            <w:r>
              <w:rPr>
                <w:rFonts w:ascii="Arial" w:hAnsi="Arial"/>
                <w:b w:val="0"/>
                <w:sz w:val="17"/>
              </w:rPr>
              <w:t>The Tanglaw-Buhay value type for this variable.</w:t>
            </w:r>
          </w:p>
        </w:tc>
        <w:tc>
          <w:tcPr>
            <w:tcW w:type="dxa" w:w="2880"/>
            <w:vAlign w:val="center"/>
          </w:tcPr>
          <w:p>
            <w:r/>
            <w:r>
              <w:rPr>
                <w:rFonts w:ascii="Arial" w:hAnsi="Arial"/>
                <w:b w:val="0"/>
                <w:sz w:val="17"/>
              </w:rPr>
              <w:t>coded_category</w:t>
            </w:r>
          </w:p>
        </w:tc>
      </w:tr>
      <w:tr>
        <w:tc>
          <w:tcPr>
            <w:tcW w:type="dxa" w:w="2880"/>
            <w:vAlign w:val="center"/>
          </w:tcPr>
          <w:p>
            <w:r/>
            <w:r>
              <w:rPr>
                <w:rFonts w:ascii="Arial" w:hAnsi="Arial"/>
                <w:b w:val="0"/>
                <w:sz w:val="17"/>
              </w:rPr>
              <w:t>code</w:t>
            </w:r>
          </w:p>
        </w:tc>
        <w:tc>
          <w:tcPr>
            <w:tcW w:type="dxa" w:w="6624"/>
            <w:vAlign w:val="center"/>
          </w:tcPr>
          <w:p>
            <w:r/>
            <w:r>
              <w:rPr>
                <w:rFonts w:ascii="Arial" w:hAnsi="Arial"/>
                <w:b w:val="0"/>
                <w:sz w:val="17"/>
              </w:rPr>
              <w:t>Raw value stored in the dataset. Treat as text when formatting/leading zeros matter.</w:t>
            </w:r>
          </w:p>
        </w:tc>
        <w:tc>
          <w:tcPr>
            <w:tcW w:type="dxa" w:w="2880"/>
            <w:vAlign w:val="center"/>
          </w:tcPr>
          <w:p>
            <w:r/>
            <w:r>
              <w:rPr>
                <w:rFonts w:ascii="Arial" w:hAnsi="Arial"/>
                <w:b w:val="0"/>
                <w:sz w:val="17"/>
              </w:rPr>
              <w:t>01</w:t>
            </w:r>
          </w:p>
        </w:tc>
      </w:tr>
      <w:tr>
        <w:tc>
          <w:tcPr>
            <w:tcW w:type="dxa" w:w="2880"/>
            <w:vAlign w:val="center"/>
          </w:tcPr>
          <w:p>
            <w:r/>
            <w:r>
              <w:rPr>
                <w:rFonts w:ascii="Arial" w:hAnsi="Arial"/>
                <w:b w:val="0"/>
                <w:sz w:val="17"/>
              </w:rPr>
              <w:t>label</w:t>
            </w:r>
          </w:p>
        </w:tc>
        <w:tc>
          <w:tcPr>
            <w:tcW w:type="dxa" w:w="6624"/>
            <w:vAlign w:val="center"/>
          </w:tcPr>
          <w:p>
            <w:r/>
            <w:r>
              <w:rPr>
                <w:rFonts w:ascii="Arial" w:hAnsi="Arial"/>
                <w:b w:val="0"/>
                <w:sz w:val="17"/>
              </w:rPr>
              <w:t>Human-readable meaning of the code.</w:t>
            </w:r>
          </w:p>
        </w:tc>
        <w:tc>
          <w:tcPr>
            <w:tcW w:type="dxa" w:w="2880"/>
            <w:vAlign w:val="center"/>
          </w:tcPr>
          <w:p>
            <w:r/>
            <w:r>
              <w:rPr>
                <w:rFonts w:ascii="Arial" w:hAnsi="Arial"/>
                <w:b w:val="0"/>
                <w:sz w:val="17"/>
              </w:rPr>
              <w:t>Head</w:t>
            </w:r>
          </w:p>
        </w:tc>
      </w:tr>
      <w:tr>
        <w:tc>
          <w:tcPr>
            <w:tcW w:type="dxa" w:w="2880"/>
            <w:vAlign w:val="center"/>
          </w:tcPr>
          <w:p>
            <w:r/>
            <w:r>
              <w:rPr>
                <w:rFonts w:ascii="Arial" w:hAnsi="Arial"/>
                <w:b w:val="0"/>
                <w:sz w:val="17"/>
              </w:rPr>
              <w:t>source_document</w:t>
            </w:r>
          </w:p>
        </w:tc>
        <w:tc>
          <w:tcPr>
            <w:tcW w:type="dxa" w:w="6624"/>
            <w:vAlign w:val="center"/>
          </w:tcPr>
          <w:p>
            <w:r/>
            <w:r>
              <w:rPr>
                <w:rFonts w:ascii="Arial" w:hAnsi="Arial"/>
                <w:b w:val="0"/>
                <w:sz w:val="17"/>
              </w:rPr>
              <w:t>Reference document used as the basis of the mapping.</w:t>
            </w:r>
          </w:p>
        </w:tc>
        <w:tc>
          <w:tcPr>
            <w:tcW w:type="dxa" w:w="2880"/>
            <w:vAlign w:val="center"/>
          </w:tcPr>
          <w:p>
            <w:r/>
            <w:r>
              <w:rPr>
                <w:rFonts w:ascii="Arial" w:hAnsi="Arial"/>
                <w:b w:val="0"/>
                <w:sz w:val="17"/>
              </w:rPr>
              <w:t>2022 CBMS Household Profile Questionnaire</w:t>
            </w:r>
          </w:p>
        </w:tc>
      </w:tr>
      <w:tr>
        <w:tc>
          <w:tcPr>
            <w:tcW w:type="dxa" w:w="2880"/>
            <w:vAlign w:val="center"/>
          </w:tcPr>
          <w:p>
            <w:r/>
            <w:r>
              <w:rPr>
                <w:rFonts w:ascii="Arial" w:hAnsi="Arial"/>
                <w:b w:val="0"/>
                <w:sz w:val="17"/>
              </w:rPr>
              <w:t>source_page</w:t>
            </w:r>
          </w:p>
        </w:tc>
        <w:tc>
          <w:tcPr>
            <w:tcW w:type="dxa" w:w="6624"/>
            <w:vAlign w:val="center"/>
          </w:tcPr>
          <w:p>
            <w:r/>
            <w:r>
              <w:rPr>
                <w:rFonts w:ascii="Arial" w:hAnsi="Arial"/>
                <w:b w:val="0"/>
                <w:sz w:val="17"/>
              </w:rPr>
              <w:t>Questionnaire page where the mapping was verified.</w:t>
            </w:r>
          </w:p>
        </w:tc>
        <w:tc>
          <w:tcPr>
            <w:tcW w:type="dxa" w:w="2880"/>
            <w:vAlign w:val="center"/>
          </w:tcPr>
          <w:p>
            <w:r/>
            <w:r>
              <w:rPr>
                <w:rFonts w:ascii="Arial" w:hAnsi="Arial"/>
                <w:b w:val="0"/>
                <w:sz w:val="17"/>
              </w:rPr>
              <w:t>2</w:t>
            </w:r>
          </w:p>
        </w:tc>
      </w:tr>
      <w:tr>
        <w:tc>
          <w:tcPr>
            <w:tcW w:type="dxa" w:w="2880"/>
            <w:vAlign w:val="center"/>
          </w:tcPr>
          <w:p>
            <w:r/>
            <w:r>
              <w:rPr>
                <w:rFonts w:ascii="Arial" w:hAnsi="Arial"/>
                <w:b w:val="0"/>
                <w:sz w:val="17"/>
              </w:rPr>
              <w:t>mapping_basis</w:t>
            </w:r>
          </w:p>
        </w:tc>
        <w:tc>
          <w:tcPr>
            <w:tcW w:type="dxa" w:w="6624"/>
            <w:vAlign w:val="center"/>
          </w:tcPr>
          <w:p>
            <w:r/>
            <w:r>
              <w:rPr>
                <w:rFonts w:ascii="Arial" w:hAnsi="Arial"/>
                <w:b w:val="0"/>
                <w:sz w:val="17"/>
              </w:rPr>
              <w:t>Explains whether the mapping is directly official or comes from a documented synthetic flattening.</w:t>
            </w:r>
          </w:p>
        </w:tc>
        <w:tc>
          <w:tcPr>
            <w:tcW w:type="dxa" w:w="2880"/>
            <w:vAlign w:val="center"/>
          </w:tcPr>
          <w:p>
            <w:r/>
            <w:r>
              <w:rPr>
                <w:rFonts w:ascii="Arial" w:hAnsi="Arial"/>
                <w:b w:val="0"/>
                <w:sz w:val="17"/>
              </w:rPr>
              <w:t>official_questionnaire</w:t>
            </w:r>
          </w:p>
        </w:tc>
      </w:tr>
      <w:tr>
        <w:tc>
          <w:tcPr>
            <w:tcW w:type="dxa" w:w="2880"/>
            <w:vAlign w:val="center"/>
          </w:tcPr>
          <w:p>
            <w:r/>
            <w:r>
              <w:rPr>
                <w:rFonts w:ascii="Arial" w:hAnsi="Arial"/>
                <w:b w:val="0"/>
                <w:sz w:val="17"/>
              </w:rPr>
              <w:t>observed_in_current_raw</w:t>
            </w:r>
          </w:p>
        </w:tc>
        <w:tc>
          <w:tcPr>
            <w:tcW w:type="dxa" w:w="6624"/>
            <w:vAlign w:val="center"/>
          </w:tcPr>
          <w:p>
            <w:r/>
            <w:r>
              <w:rPr>
                <w:rFonts w:ascii="Arial" w:hAnsi="Arial"/>
                <w:b w:val="0"/>
                <w:sz w:val="17"/>
              </w:rPr>
              <w:t>Yes if this code currently appears in the three uploaded synthetic CSVs; No if it is valid but not currently observed.</w:t>
            </w:r>
          </w:p>
        </w:tc>
        <w:tc>
          <w:tcPr>
            <w:tcW w:type="dxa" w:w="2880"/>
            <w:vAlign w:val="center"/>
          </w:tcPr>
          <w:p>
            <w:r/>
            <w:r>
              <w:rPr>
                <w:rFonts w:ascii="Arial" w:hAnsi="Arial"/>
                <w:b w:val="0"/>
                <w:sz w:val="17"/>
              </w:rPr>
              <w:t>Yes / No</w:t>
            </w:r>
          </w:p>
        </w:tc>
      </w:tr>
      <w:tr>
        <w:tc>
          <w:tcPr>
            <w:tcW w:type="dxa" w:w="2880"/>
            <w:vAlign w:val="center"/>
          </w:tcPr>
          <w:p>
            <w:r/>
            <w:r>
              <w:rPr>
                <w:rFonts w:ascii="Arial" w:hAnsi="Arial"/>
                <w:b w:val="0"/>
                <w:sz w:val="17"/>
              </w:rPr>
              <w:t>review_status</w:t>
            </w:r>
          </w:p>
        </w:tc>
        <w:tc>
          <w:tcPr>
            <w:tcW w:type="dxa" w:w="6624"/>
            <w:vAlign w:val="center"/>
          </w:tcPr>
          <w:p>
            <w:r/>
            <w:r>
              <w:rPr>
                <w:rFonts w:ascii="Arial" w:hAnsi="Arial"/>
                <w:b w:val="0"/>
                <w:sz w:val="17"/>
              </w:rPr>
              <w:t>Whether the mapping has been verified during the current codebook pass.</w:t>
            </w:r>
          </w:p>
        </w:tc>
        <w:tc>
          <w:tcPr>
            <w:tcW w:type="dxa" w:w="2880"/>
            <w:vAlign w:val="center"/>
          </w:tcPr>
          <w:p>
            <w:r/>
            <w:r>
              <w:rPr>
                <w:rFonts w:ascii="Arial" w:hAnsi="Arial"/>
                <w:b w:val="0"/>
                <w:sz w:val="17"/>
              </w:rPr>
              <w:t>verified</w:t>
            </w:r>
          </w:p>
        </w:tc>
      </w:tr>
      <w:tr>
        <w:tc>
          <w:tcPr>
            <w:tcW w:type="dxa" w:w="2880"/>
            <w:vAlign w:val="center"/>
          </w:tcPr>
          <w:p>
            <w:r/>
            <w:r>
              <w:rPr>
                <w:rFonts w:ascii="Arial" w:hAnsi="Arial"/>
                <w:b w:val="0"/>
                <w:sz w:val="17"/>
              </w:rPr>
              <w:t>notes</w:t>
            </w:r>
          </w:p>
        </w:tc>
        <w:tc>
          <w:tcPr>
            <w:tcW w:type="dxa" w:w="6624"/>
            <w:vAlign w:val="center"/>
          </w:tcPr>
          <w:p>
            <w:r/>
            <w:r>
              <w:rPr>
                <w:rFonts w:ascii="Arial" w:hAnsi="Arial"/>
                <w:b w:val="0"/>
                <w:sz w:val="17"/>
              </w:rPr>
              <w:t>Special instructions or limitations for this mapping.</w:t>
            </w:r>
          </w:p>
        </w:tc>
        <w:tc>
          <w:tcPr>
            <w:tcW w:type="dxa" w:w="2880"/>
            <w:vAlign w:val="center"/>
          </w:tcPr>
          <w:p>
            <w:r/>
            <w:r>
              <w:rPr>
                <w:rFonts w:ascii="Arial" w:hAnsi="Arial"/>
                <w:b w:val="0"/>
                <w:sz w:val="17"/>
              </w:rPr>
              <w:t>Multi-select: decode each letter separately</w:t>
            </w:r>
          </w:p>
        </w:tc>
      </w:tr>
    </w:tbl>
    <w:p>
      <w:pPr>
        <w:pStyle w:val="Heading1"/>
      </w:pPr>
      <w:r>
        <w:t>7. Worked examples</w:t>
      </w:r>
    </w:p>
    <w:p>
      <w:pPr>
        <w:pStyle w:val="Heading2"/>
      </w:pPr>
      <w:r>
        <w:t>Example A - Normal category translation</w:t>
      </w:r>
    </w:p>
    <w:p>
      <w:r>
        <w:t>Raw member record: A02_RELATION_TO_HH_HEAD = 03. variable_definitions.csv says this is a coded_category and uses codebook_lookup. codebook_values.csv says A02 + 03 = Son. The LGU staff UI can therefore display: Relationship: Son.</w:t>
      </w:r>
    </w:p>
    <w:p>
      <w:pPr>
        <w:pStyle w:val="Heading2"/>
      </w:pPr>
      <w:r>
        <w:t>Example B - Direct number</w:t>
      </w:r>
    </w:p>
    <w:p>
      <w:r>
        <w:t>Raw member record: A07_AGE = 45. variable_definitions.csv says practical_type = number and display_handling = direct. No codebook lookup is needed. The UI displays Age: 45.</w:t>
      </w:r>
    </w:p>
    <w:p>
      <w:pPr>
        <w:pStyle w:val="Heading2"/>
      </w:pPr>
      <w:r>
        <w:t>Example C - Member reference</w:t>
      </w:r>
    </w:p>
    <w:p>
      <w:r>
        <w:t>Raw Section L value: L16_PWD = 03. This is not disability category 03. variable_definitions.csv marks it as member_reference and member_lookup. After ETL creates HOUSEHOLD_ID and MEMBER_ID, member line 03 in HH000025 can resolve to HH000025-M03 and then to that member's name. The UI can display the actual member instead of 03.</w:t>
      </w:r>
    </w:p>
    <w:p>
      <w:pPr>
        <w:pStyle w:val="Heading2"/>
      </w:pPr>
      <w:r>
        <w:t>Example D - Multi-select value</w:t>
      </w:r>
    </w:p>
    <w:p>
      <w:r>
        <w:t>Raw value: L40_PAYMENT_FOR_TREATMENT = AEH. variable_definitions.csv marks it as multi_select_code. codebook_values.csv defines A = Salary or Income, E = PhilHealth, and H = Family/Friends/Relatives. The UI can display all three selected payment sources.</w:t>
      </w:r>
    </w:p>
    <w:p>
      <w:pPr>
        <w:pStyle w:val="Heading1"/>
      </w:pPr>
      <w:r>
        <w:t>8. How this helps ETL</w:t>
      </w:r>
    </w:p>
    <w:p>
      <w:pPr>
        <w:pStyle w:val="ListBullet"/>
        <w:spacing w:after="40"/>
      </w:pPr>
      <w:r>
        <w:t>It tells ETL which columns are text, numeric values, coded categories, member references, or multi-select fields.</w:t>
      </w:r>
    </w:p>
    <w:p>
      <w:pPr>
        <w:pStyle w:val="ListBullet"/>
        <w:spacing w:after="40"/>
      </w:pPr>
      <w:r>
        <w:t>It helps preserve leading-zero codes such as 03 and 00010011 instead of accidentally converting them to 3 or 10011.</w:t>
      </w:r>
    </w:p>
    <w:p>
      <w:pPr>
        <w:pStyle w:val="ListBullet"/>
        <w:spacing w:after="40"/>
      </w:pPr>
      <w:r>
        <w:t>It prevents blanks from automatically being treated as No. Skipped/not-applicable answers should usually become NULL.</w:t>
      </w:r>
    </w:p>
    <w:p>
      <w:pPr>
        <w:pStyle w:val="ListBullet"/>
        <w:spacing w:after="40"/>
      </w:pPr>
      <w:r>
        <w:t>It allows ETL validation: observed codes can be checked against the approved mappings before loading PostgreSQL.</w:t>
      </w:r>
    </w:p>
    <w:p>
      <w:pPr>
        <w:pStyle w:val="ListBullet"/>
        <w:spacing w:after="40"/>
      </w:pPr>
      <w:r>
        <w:t>It helps member-reference fields resolve through HOUSEHOLD_ID + LINE_NUMBER after IDs are generated.</w:t>
      </w:r>
    </w:p>
    <w:p>
      <w:pPr>
        <w:pStyle w:val="Heading1"/>
      </w:pPr>
      <w:r>
        <w:t>9. How this helps PostgreSQL and Flask later</w:t>
      </w:r>
    </w:p>
    <w:p>
      <w:r>
        <w:t>A practical database setup can later load these two CSV files into reference tables such as codebook_variables and codebook_values. The household/member tables keep the original CBMS-style codes. Flask/SQLAlchemy can use the reference tables when it needs readable labels.</w:t>
      </w:r>
    </w:p>
    <w:p>
      <w:r>
        <w:t>Example:</w:t>
      </w:r>
    </w:p>
    <w:p>
      <w:pPr>
        <w:ind w:left="432"/>
      </w:pPr>
      <w:r>
        <w:rPr>
          <w:rFonts w:ascii="Courier New" w:hAnsi="Courier New"/>
          <w:sz w:val="18"/>
        </w:rPr>
        <w:t>Database member value: A05_SEX = 2  -&gt;  codebook lookup  -&gt;  Flask sends "Female" to the template.</w:t>
      </w:r>
    </w:p>
    <w:p>
      <w:r>
        <w:t>Keeping the original code and a separate label is useful because the raw code remains traceable to the questionnaire, while the staff interface stays understandable.</w:t>
      </w:r>
    </w:p>
    <w:p>
      <w:pPr>
        <w:pStyle w:val="Heading1"/>
      </w:pPr>
      <w:r>
        <w:t>10. How this helps future vulnerability and subsidy modules</w:t>
      </w:r>
    </w:p>
    <w:p>
      <w:r>
        <w:t>The codebook itself does not decide vulnerability scores or program eligibility. Its job is to make the data reliable and interpretable. Later, after the methodology is formally approved, selected variables can be used as analytical inputs.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rFonts w:ascii="Arial" w:hAnsi="Arial"/>
                <w:b/>
                <w:sz w:val="17"/>
              </w:rPr>
              <w:t>Possible later use</w:t>
            </w:r>
          </w:p>
        </w:tc>
        <w:tc>
          <w:tcPr>
            <w:tcW w:type="dxa" w:w="8064"/>
            <w:vAlign w:val="center"/>
            <w:shd w:fill="D9EAF7"/>
          </w:tcPr>
          <w:p>
            <w:r/>
            <w:r>
              <w:rPr>
                <w:rFonts w:ascii="Arial" w:hAnsi="Arial"/>
                <w:b/>
                <w:sz w:val="17"/>
              </w:rPr>
              <w:t>What the codebook contributes</w:t>
            </w:r>
          </w:p>
        </w:tc>
      </w:tr>
      <w:tr>
        <w:tc>
          <w:tcPr>
            <w:tcW w:type="dxa" w:w="3456"/>
            <w:vAlign w:val="center"/>
          </w:tcPr>
          <w:p>
            <w:r/>
            <w:r>
              <w:rPr>
                <w:rFonts w:ascii="Arial" w:hAnsi="Arial"/>
                <w:b w:val="0"/>
                <w:sz w:val="17"/>
              </w:rPr>
              <w:t>Household summaries</w:t>
            </w:r>
          </w:p>
        </w:tc>
        <w:tc>
          <w:tcPr>
            <w:tcW w:type="dxa" w:w="8064"/>
            <w:vAlign w:val="center"/>
          </w:tcPr>
          <w:p>
            <w:r/>
            <w:r>
              <w:rPr>
                <w:rFonts w:ascii="Arial" w:hAnsi="Arial"/>
                <w:b w:val="0"/>
                <w:sz w:val="17"/>
              </w:rPr>
              <w:t>Correct interpretation of age, relationship, PWD/health, employment, food-security and other fields.</w:t>
            </w:r>
          </w:p>
        </w:tc>
      </w:tr>
      <w:tr>
        <w:tc>
          <w:tcPr>
            <w:tcW w:type="dxa" w:w="3456"/>
            <w:vAlign w:val="center"/>
          </w:tcPr>
          <w:p>
            <w:r/>
            <w:r>
              <w:rPr>
                <w:rFonts w:ascii="Arial" w:hAnsi="Arial"/>
                <w:b w:val="0"/>
                <w:sz w:val="17"/>
              </w:rPr>
              <w:t>Vulnerability assessment</w:t>
            </w:r>
          </w:p>
        </w:tc>
        <w:tc>
          <w:tcPr>
            <w:tcW w:type="dxa" w:w="8064"/>
            <w:vAlign w:val="center"/>
          </w:tcPr>
          <w:p>
            <w:r/>
            <w:r>
              <w:rPr>
                <w:rFonts w:ascii="Arial" w:hAnsi="Arial"/>
                <w:b w:val="0"/>
                <w:sz w:val="17"/>
              </w:rPr>
              <w:t>Reliable raw indicators and response meanings before weights/cutoffs are applied.</w:t>
            </w:r>
          </w:p>
        </w:tc>
      </w:tr>
      <w:tr>
        <w:tc>
          <w:tcPr>
            <w:tcW w:type="dxa" w:w="3456"/>
            <w:vAlign w:val="center"/>
          </w:tcPr>
          <w:p>
            <w:r/>
            <w:r>
              <w:rPr>
                <w:rFonts w:ascii="Arial" w:hAnsi="Arial"/>
                <w:b w:val="0"/>
                <w:sz w:val="17"/>
              </w:rPr>
              <w:t>4Ps / SPISC / SLP / AICS matching</w:t>
            </w:r>
          </w:p>
        </w:tc>
        <w:tc>
          <w:tcPr>
            <w:tcW w:type="dxa" w:w="8064"/>
            <w:vAlign w:val="center"/>
          </w:tcPr>
          <w:p>
            <w:r/>
            <w:r>
              <w:rPr>
                <w:rFonts w:ascii="Arial" w:hAnsi="Arial"/>
                <w:b w:val="0"/>
                <w:sz w:val="17"/>
              </w:rPr>
              <w:t>Correctly interpreted criteria before the multi-criteria scoring rules are applied.</w:t>
            </w:r>
          </w:p>
        </w:tc>
      </w:tr>
      <w:tr>
        <w:tc>
          <w:tcPr>
            <w:tcW w:type="dxa" w:w="3456"/>
            <w:vAlign w:val="center"/>
          </w:tcPr>
          <w:p>
            <w:r/>
            <w:r>
              <w:rPr>
                <w:rFonts w:ascii="Arial" w:hAnsi="Arial"/>
                <w:b w:val="0"/>
                <w:sz w:val="17"/>
              </w:rPr>
              <w:t>UI explanations</w:t>
            </w:r>
          </w:p>
        </w:tc>
        <w:tc>
          <w:tcPr>
            <w:tcW w:type="dxa" w:w="8064"/>
            <w:vAlign w:val="center"/>
          </w:tcPr>
          <w:p>
            <w:r/>
            <w:r>
              <w:rPr>
                <w:rFonts w:ascii="Arial" w:hAnsi="Arial"/>
                <w:b w:val="0"/>
                <w:sz w:val="17"/>
              </w:rPr>
              <w:t>Readable labels instead of technical CBMS codes.</w:t>
            </w:r>
          </w:p>
        </w:tc>
      </w:tr>
    </w:tbl>
    <w:p>
      <w:pPr>
        <w:pStyle w:val="Heading1"/>
      </w:pPr>
      <w:r>
        <w:t>11. Important rules for the team</w:t>
      </w:r>
    </w:p>
    <w:p>
      <w:pPr>
        <w:pStyle w:val="ListBullet"/>
        <w:spacing w:after="40"/>
      </w:pPr>
      <w:r>
        <w:t>Do not manually replace raw codes in the original CSVs with labels.</w:t>
      </w:r>
    </w:p>
    <w:p>
      <w:pPr>
        <w:pStyle w:val="ListBullet"/>
        <w:spacing w:after="40"/>
      </w:pPr>
      <w:r>
        <w:t>Do not delete leading zeros from code fields.</w:t>
      </w:r>
    </w:p>
    <w:p>
      <w:pPr>
        <w:pStyle w:val="ListBullet"/>
        <w:spacing w:after="40"/>
      </w:pPr>
      <w:r>
        <w:t>Do not assume blank means No.</w:t>
      </w:r>
    </w:p>
    <w:p>
      <w:pPr>
        <w:pStyle w:val="ListBullet"/>
        <w:spacing w:after="40"/>
      </w:pPr>
      <w:r>
        <w:t>Do not assume code 8, 9, 98, or 99 has the same meaning for every variable; use the variable-specific codebook.</w:t>
      </w:r>
    </w:p>
    <w:p>
      <w:pPr>
        <w:pStyle w:val="ListBullet"/>
        <w:spacing w:after="40"/>
      </w:pPr>
      <w:r>
        <w:t>Do not use every available variable in the UI or scoring just because it exists in the codebook.</w:t>
      </w:r>
    </w:p>
    <w:p>
      <w:pPr>
        <w:pStyle w:val="ListBullet"/>
        <w:spacing w:after="40"/>
      </w:pPr>
      <w:r>
        <w:t>SECTION_O_LINE_NUMBER is currently preserved for reference but remains flagged for review and should not be used as the main member join key.</w:t>
      </w:r>
    </w:p>
    <w:p>
      <w:pPr>
        <w:pStyle w:val="ListBullet"/>
        <w:spacing w:after="40"/>
      </w:pPr>
      <w:r>
        <w:t>The L17 disability columns are a synthetic flattened representation of questionnaire disability choices; this is documented in mapping_basis/notes.</w:t>
      </w:r>
    </w:p>
    <w:p>
      <w:pPr>
        <w:pStyle w:val="Heading1"/>
      </w:pPr>
      <w:r>
        <w:t>12. Recommended project placement later</w:t>
      </w:r>
    </w:p>
    <w:p>
      <w:r>
        <w:t>Once the team approves the reference files, a simple project structure could be:</w:t>
      </w:r>
    </w:p>
    <w:p>
      <w:pPr>
        <w:ind w:left="504"/>
      </w:pPr>
      <w:r>
        <w:rPr>
          <w:rFonts w:ascii="Courier New" w:hAnsi="Courier New"/>
          <w:sz w:val="18"/>
        </w:rPr>
        <w:t>data/</w:t>
        <w:br/>
        <w:t xml:space="preserve">  raw/</w:t>
        <w:br/>
        <w:t xml:space="preserve">    [original synthetic CSV files]</w:t>
        <w:br/>
        <w:t xml:space="preserve">  reference/</w:t>
        <w:br/>
        <w:t xml:space="preserve">    variable_definitions.csv</w:t>
        <w:br/>
        <w:t xml:space="preserve">    codebook_values.csv</w:t>
        <w:br/>
        <w:t xml:space="preserve">  staged/</w:t>
        <w:br/>
        <w:t xml:space="preserve">    [ETL outputs later]</w:t>
      </w:r>
    </w:p>
    <w:p>
      <w:pPr>
        <w:pStyle w:val="Heading1"/>
      </w:pPr>
      <w:r>
        <w:t>13. Current status and next step</w:t>
      </w:r>
    </w:p>
    <w:p>
      <w:r>
        <w:t>The current codebook/reference stage is complete for the uploaded synthetic data: all 157 available variables have definitions, 118 variables requiring translation have code mappings, and all currently observed coded raw values are covered by the mapping file.</w:t>
      </w:r>
    </w:p>
    <w:p>
      <w:r>
        <w:t>The next process is ETL. Before writing the ETL script, the team should agree on the exact rule for generating HOUSEHOLD_ID and MEMBER_ID and connecting the 500 household records to the 2,043 member records.</w:t>
      </w:r>
    </w:p>
    <w:p>
      <w:pPr>
        <w:pStyle w:val="Heading1"/>
      </w:pPr>
      <w:r>
        <w:t>Reference files covered by this guide</w:t>
      </w:r>
    </w:p>
    <w:p>
      <w:pPr>
        <w:pStyle w:val="ListBullet"/>
        <w:spacing w:after="40"/>
      </w:pPr>
      <w:r>
        <w:t>variable_definitions.csv - 157 variable-definition rows.</w:t>
      </w:r>
    </w:p>
    <w:p>
      <w:pPr>
        <w:pStyle w:val="ListBullet"/>
        <w:spacing w:after="40"/>
      </w:pPr>
      <w:r>
        <w:t>codebook_values.csv - 509 code-mapping rows covering 118 variables.</w:t>
      </w:r>
    </w:p>
    <w:p>
      <w:pPr>
        <w:pStyle w:val="ListBullet"/>
        <w:spacing w:after="40"/>
      </w:pPr>
      <w:r>
        <w:t>Source basis for mappings: 2022 CBMS Household Profile Questionnaire and the uploaded CBMS metadata workbook.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Tanglaw-Buhay | Codebook Reference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