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</w:rPr>
        <w:t xml:space="preserve">Pre-registro: cooperación entre metaheurísticas heterogéneas, fase positiva</w:t>
      </w:r>
    </w:p>
    <w:p>
      <w:pPr>
        <w:spacing w:after="120" w:line="276"/>
        <w:rPr>
          <w:color w:val="6E6E6E"/>
          <w:sz w:val="20"/>
          <w:szCs w:val="20"/>
        </w:rPr>
      </w:pPr>
      <w:r>
        <w:rPr>
          <w:rFonts w:ascii="Calibri" w:cs="Calibri" w:eastAsia="Calibri" w:hAnsi="Calibri"/>
          <w:color w:val="6E6E6E"/>
          <w:sz w:val="20"/>
          <w:szCs w:val="20"/>
        </w:rPr>
        <w:t xml:space="preserve">Versión 0.1 · 21 de septiembre de 2026 · Estudio que sigue al borrador BORRADOR_transferencia_v11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Propósito y regla de uso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fija, antes de correr nada, los mecanismos, baselines y criterios de éxito y abandono del estudio que sigue al borrador v11. Se versiona en el repositorio del framework y se congela con un hash antes de la primera corrida de la Fase 2.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Regla de uso: nada se edita in situ después del congelamiento. Todo cambio se anota como enmienda fechada en el registro de desviaciones del repositorio y se declara en el paper. Un recorte declarado es una restricción de recursos; el mismo recorte sin declarar es un defecto de integridad.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Alcance: optimización continua acotada en [−100, 100]^D, bancos CEC 2014, 2017 y 2022, cooperación entre metaheurísticas heterogéneas a presupuesto total equitativo.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Flujo de fases y puntos de corte: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Fase 0, reencuadre y congelamiento → Fase 1, cotas sobre datos existentes.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Corte 1: si ninguna cota supera el umbral → paper alterno (gate como seguridad + protocolo); si alguna lo supera → Fase 2, piloto de candidatos A, B y 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Corte 2: si ningún candidato cumple el criterio de éxito → paper alterno; si alguno lo cumple → Fase 3, confirmatorio bajo protocolo CEC → Fase 4, redacción elsarticle.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Dos puntos de corte baratos preceden al cómputo confirmatorio, y el camino alterno queda pre-registrado y también es publicable.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Pregunta e hipótesis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Pregunta: ¿existe un mecanismo de cooperación entre solvers complementarios que supere al portafolio de reparto igual (C1_div) a igual presupuesto, de forma consistente por presupuesto y dimensión?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Hipótesis falsables, cada una con su contraste primario: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H1 (asignación). Un controlador reactivo de presupuesto guiado por mejora relativa supera a C1_div en más funciones de las que pierde, a 5·10³ y 5·10⁴ en 10D.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H2 (estructural). La migración de élite admitida por estado y revertida por stop-loss supera a la migración fija (C1_island) y a C1_div.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H3 (régimen por efecto). La selección de régimen por efecto observado supera a la selección por intención fija (C3p) y no es inferior a C1_div.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H4 (escala). La ventaja de H1 o H2 se mantiene a 5·10⁵ con Δ fijo y en 50D.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H5 (referencia externa). La cooperación no es inferior a L-SHADE aislado a igual presupuesto. Si se rechaza, el claim se acota al portafolio de los mismos solvers.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Resultado alterno pre-registrado: si las cotas de la Fase 1 no superan el umbral, la contribución positiva es el gate como componente de seguridad más el protocolo de atribución, con los datos ya existentes.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Fase 0: reencuadre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pregunta pasa de “cuándo no transferir” a “qué transferir y cómo repartir”. El resultado negativo del borrador v11 se conserva como sección de diagnóstico que motiva el diseño; no se descarta.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conserva: el orquestador con contador de FES compartido y aserciones de presupuesto, la escalera de atribución, las semillas CRN, las curvas C0 y las reglas de admisión y stop-loss.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cambia antes de correr: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Δ desacoplado del presupuesto: Δ fijo en evaluaciones, igual en todos los niveles.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Memoria de efectos activa (métrica de mediana) en los tres pares; la campaña con memoria inerte pasa al suplementario como verificación bit-idéntica.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51 corridas en toda celda que llegue a una tabla, incluidos los estudios discriminantes.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Vocabulario de regímenes acotado a las regiones de convergencia de cada solver (F ≤ 1, w &lt; 1, ξ &lt; 1, a ≤ 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Tabla de parámetros base θ_k por solver, con tamaño de población y procedencia bibliográfica.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Entregables: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Este pre-registro congelado con hash y tag en el repositorio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deviations-log.md creado a partir de la plantilla del protocolo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Tabla θ_k por solver con fuente y tamaño de población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Fase 1: cotas sobre datos existentes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Las corridas C0 ya disponibles bastan para acotar la ganancia máxima de cada mecanismo antes de gastar cómputo. Ningún análisis de esta fase requiere corridas nuevas.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986"/>
        <w:gridCol w:w="1986"/>
        <w:gridCol w:w="2166"/>
      </w:tblGrid>
      <w:tr>
        <w:trPr>
          <w:tblHeader/>
        </w:trPr>
        <w:tc>
          <w:tcPr>
            <w:tcW w:type="dxa" w:w="2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Análisis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usados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acota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Umbral propuesto</w:t>
            </w:r>
          </w:p>
        </w:tc>
      </w:tr>
      <w:tr>
        <w:tc>
          <w:tcPr>
            <w:tcW w:type="dxa" w:w="2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Virtual-best por función (todo el presupuesto al mejor solver de esa función) vs C1_div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Curvas C0, 70 funciones, 5·10³ a 5·10⁵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Ganancia máxima de asignación estática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Mejor en ≥ 20/70 con Holm y mediana r ≥ 0.3</w:t>
            </w:r>
          </w:p>
        </w:tc>
      </w:tr>
      <w:tr>
        <w:tc>
          <w:tcPr>
            <w:tcW w:type="dxa" w:w="2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Oráculo de conmutación por Δ (en cada punto de control, el solver que más mejora) vs C1_div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Curvas C0 por iteración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Ganancia máxima de un controlador reactivo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Igual que la fila anterior</w:t>
            </w:r>
          </w:p>
        </w:tc>
      </w:tr>
      <w:tr>
        <w:tc>
          <w:tcPr>
            <w:tcW w:type="dxa" w:w="2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Cribado de complementariedad 70 funciones × 7 solvers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Resultados C0, más SSA y WOA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Fracción del banco con algo que explotar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Cambio de ganador en ≥ 40 % de las funciones</w:t>
            </w:r>
          </w:p>
        </w:tc>
      </w:tr>
      <w:tr>
        <w:tc>
          <w:tcPr>
            <w:tcW w:type="dxa" w:w="2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Estabilidad del efecto por régimen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Logs de memoria de E2 y E4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Viabilidad del candidato C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Signo del efecto por triple estable en ≥ 70 % de las semillas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umbrales son propuestas y se fijan en la enmienda v0.2 antes de ejecutar el análisis. Los scripts leen los CSV crudos y quedan versionados junto con este documento.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Regla de decisión: si ninguna cota de las dos primeras filas supera su umbral, se abandona la Fase 2 y se sigue el camino alterno de la sección 2.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Script de cotas sobre los crudos C0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Tabla de cotas por par y presupuesto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Decisión de continuar registrada en el log de desviaciones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Fase 2: candidatos y piloto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Tres mecanismos entran al piloto, ordenados por probabilidad de éxito según la evidencia del borrador v11. Solo los que cumplan el criterio de éxito pasan al confirmatorio.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5"/>
        <w:gridCol w:w="2257"/>
        <w:gridCol w:w="1649"/>
        <w:gridCol w:w="2083"/>
        <w:gridCol w:w="1562"/>
      </w:tblGrid>
      <w:tr>
        <w:trPr>
          <w:tblHeader/>
        </w:trPr>
        <w:tc>
          <w:tcPr>
            <w:tcW w:type="dxa" w:w="1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Candidato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Mecanismo</w:t>
            </w:r>
          </w:p>
        </w:tc>
        <w:tc>
          <w:tcPr>
            <w:tcW w:type="dxa" w:w="1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Señal reutilizada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 qué puede ganar</w:t>
            </w:r>
          </w:p>
        </w:tc>
        <w:tc>
          <w:tcPr>
            <w:tcW w:type="dxa" w:w="15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 qué puede fallar</w:t>
            </w:r>
          </w:p>
        </w:tc>
      </w:tr>
      <w:tr>
        <w:tc>
          <w:tcPr>
            <w:tcW w:type="dxa" w:w="1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A. Asignación dinámica de presupuesto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Bandit que mueve la fracción de presupuesto hacia el solver en mejora; el stop-loss revierte al reparto igual si no hay progreso</w:t>
            </w:r>
          </w:p>
        </w:tc>
        <w:tc>
          <w:tcPr>
            <w:tcW w:type="dxa" w:w="1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Reglas de admisión (fuente en mejora, destino estancado)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efecto portafolio es real y crece con el presupuesto; no transfiere nada, así que no sufre daño de vocabulario</w:t>
            </w:r>
          </w:p>
        </w:tc>
        <w:tc>
          <w:tcPr>
            <w:tcW w:type="dxa" w:w="15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cota del virtual-best puede ser pequeña</w:t>
            </w:r>
          </w:p>
        </w:tc>
      </w:tr>
      <w:tr>
        <w:tc>
          <w:tcPr>
            <w:tcW w:type="dxa" w:w="1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B. Transferencia estructural con admisión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Reinyección de la mejor solución de la fuente en el destino solo bajo admisión; rollback si el mejor histórico no mejora en Δ</w:t>
            </w:r>
          </w:p>
        </w:tc>
        <w:tc>
          <w:tcPr>
            <w:tcW w:type="dxa" w:w="1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Reglas de admisión, stop-loss, memoria por efecto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Está descrita en el método y nunca se evaluó a escala; comparable con la literatura de islas</w:t>
            </w:r>
          </w:p>
        </w:tc>
        <w:tc>
          <w:tcPr>
            <w:tcW w:type="dxa" w:w="15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Homogeneización de la población destino</w:t>
            </w:r>
          </w:p>
        </w:tc>
      </w:tr>
      <w:tr>
        <w:tc>
          <w:tcPr>
            <w:tcW w:type="dxa" w:w="1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C. Régimen por efecto observado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UCB por (destino, estado) sobre vocabulario acotado; el crédito viene del efecto medido, no de la etiqueta</w:t>
            </w:r>
          </w:p>
        </w:tc>
        <w:tc>
          <w:tcPr>
            <w:tcW w:type="dxa" w:w="1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Memoria de efectos convertida en crédito positivo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E3 mostró que etiquetar a mano falla y E2 que la memoria por efecto funciona</w:t>
            </w:r>
          </w:p>
        </w:tc>
        <w:tc>
          <w:tcPr>
            <w:tcW w:type="dxa" w:w="15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E1 y el hallazgo previo apuntan a óptimo de nivel, no de schedule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Diseño del piloto: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12 funciones CEC 2014 en 10D, fijadas por taxonomía y disjuntas de las 6 del cribado anterior. Propuesta: F2, F3 (unimodales); F5, F8, F11, F14 (multimodales); F17, F18, F20 (híbridas); F24, F26, F29 (composición).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51 corridas pareadas por CRN, presupuestos 5·10³ y 5·10⁴, tres pares (GWO+GA, DE+GA, PSO+ACO), Δ = 500 evaluaciones.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Parámetros de cada candidato fijados antes de correr y sin ajuste posterior.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Control positivo de transferencia benigna: inyectar el mejor régimen estático por función de E1, para medir la tasa de falsos positivos del gate.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Criterio de éxito por candidato, frente a C1_div con Wilcoxon de rangos con signo y Holm sobre las 12 funciones: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Más funciones mejor que peor en ambos presupuestos.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Mediana del rank-biserial ≥ 0.3.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Peor en ≤ 2 de 12 funciones.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 cumple en al menos 2 de los 3 pares.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Criterio de abandono: incumplir el criterio en ambos presupuestos y en los tres pares. El candidato abandonado se reporta en el suplementario con sus tablas completas.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Fijar lista de funciones y parámetros de A, B, C (enmienda v0.2)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Implementar los tres candidatos sobre el orquestador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Correr el piloto y emitir tablas desde crudos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Fase 3: confirmatorio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confirmatorio corre una única configuración del mecanismo ganador sobre la matriz completa del protocolo CEC. Nada se ajusta por función, presupuesto ni dimensión.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9"/>
        <w:gridCol w:w="2832"/>
        <w:gridCol w:w="1947"/>
        <w:gridCol w:w="2124"/>
        <w:gridCol w:w="884"/>
      </w:tblGrid>
      <w:tr>
        <w:trPr>
          <w:tblHeader/>
        </w:trPr>
        <w:tc>
          <w:tcPr>
            <w:tcW w:type="dxa" w:w="12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Conjunto</w:t>
            </w:r>
          </w:p>
        </w:tc>
        <w:tc>
          <w:tcPr>
            <w:tcW w:type="dxa" w:w="2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Funciones</w:t>
            </w:r>
          </w:p>
        </w:tc>
        <w:tc>
          <w:tcPr>
            <w:tcW w:type="dxa" w:w="1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Dimensión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Presupuestos (MaxFES)</w:t>
            </w:r>
          </w:p>
        </w:tc>
        <w:tc>
          <w:tcPr>
            <w:tcW w:type="dxa" w:w="8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Corridas</w:t>
            </w:r>
          </w:p>
        </w:tc>
      </w:tr>
      <w:tr>
        <w:tc>
          <w:tcPr>
            <w:tcW w:type="dxa" w:w="12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CEC_72_10</w:t>
            </w:r>
          </w:p>
        </w:tc>
        <w:tc>
          <w:tcPr>
            <w:tcW w:type="dxa" w:w="2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CEC 2014 (30), CEC 2017 (30, o 29 sin F2), CEC 2022 (12)</w:t>
            </w:r>
          </w:p>
        </w:tc>
        <w:tc>
          <w:tcPr>
            <w:tcW w:type="dxa" w:w="1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10D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5·10³, 5·10⁴, 5·10⁵, 5·10⁶</w:t>
            </w:r>
          </w:p>
        </w:tc>
        <w:tc>
          <w:tcPr>
            <w:tcW w:type="dxa" w:w="8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</w:tr>
      <w:tr>
        <w:tc>
          <w:tcPr>
            <w:tcW w:type="dxa" w:w="12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CEC_72_50</w:t>
            </w:r>
          </w:p>
        </w:tc>
        <w:tc>
          <w:tcPr>
            <w:tcW w:type="dxa" w:w="2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 mismas</w:t>
            </w:r>
          </w:p>
        </w:tc>
        <w:tc>
          <w:tcPr>
            <w:tcW w:type="dxa" w:w="1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50D en 2014 y 2017; 20D en 2022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5·10³, 5·10⁴, 5·10⁵, 5·10⁶</w:t>
            </w:r>
          </w:p>
        </w:tc>
        <w:tc>
          <w:tcPr>
            <w:tcW w:type="dxa" w:w="8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Reglas de ejecución: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Cada presupuesto parte de cero con su propia semilla; ninguna corrida es continuación de otra.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El contador de FES incluye la población inicial y cualquier evaluación que consuma el mecanismo.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5·10⁶ puede restringirse a las 12 funciones del piloto si el costo lo exige; la restricción se declara aquí antes de lanzar.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F22 de CEC 2014 y F12 de CEC 2022 vuelven al banco o se excluyen con razón verificable, igual para todos los tratamientos.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Manejo de límites del dominio documentado y común a todos los solvers.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Costo: estimar con el planificador del protocolo antes de lanzar; registrar horas de pared, núcleos y almacenamiento en el suplementario.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Decisión sobre F2, F22 y F12 registrada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Estimación de costo y recorte declarado, si aplica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Corridas con guardado incremental reanudable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7. Baselines y competidores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lista se cierra con el hash del pre-registro y no cambia después de ver resultados. Los parámetros de cada competidor vienen de su publicación original, sin retuning.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2"/>
        <w:gridCol w:w="2943"/>
        <w:gridCol w:w="2551"/>
      </w:tblGrid>
      <w:tr>
        <w:trPr>
          <w:tblHeader/>
        </w:trPr>
        <w:tc>
          <w:tcPr>
            <w:tcW w:type="dxa" w:w="35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Tratamiento</w:t>
            </w:r>
          </w:p>
        </w:tc>
        <w:tc>
          <w:tcPr>
            <w:tcW w:type="dxa" w:w="2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 en la comparación</w:t>
            </w:r>
          </w:p>
        </w:tc>
        <w:tc>
          <w:tcPr>
            <w:tcW w:type="dxa" w:w="2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Fuente de parámetros</w:t>
            </w:r>
          </w:p>
        </w:tc>
      </w:tr>
      <w:tr>
        <w:tc>
          <w:tcPr>
            <w:tcW w:type="dxa" w:w="35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SBS (mejor solver aislado del par)</w:t>
            </w:r>
          </w:p>
        </w:tc>
        <w:tc>
          <w:tcPr>
            <w:tcW w:type="dxa" w:w="2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Piso clásico de portafolios</w:t>
            </w:r>
          </w:p>
        </w:tc>
        <w:tc>
          <w:tcPr>
            <w:tcW w:type="dxa" w:w="2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θ_k</w:t>
            </w:r>
          </w:p>
        </w:tc>
      </w:tr>
      <w:tr>
        <w:tc>
          <w:tcPr>
            <w:tcW w:type="dxa" w:w="35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Virtual-best por función</w:t>
            </w:r>
          </w:p>
        </w:tc>
        <w:tc>
          <w:tcPr>
            <w:tcW w:type="dxa" w:w="2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Cota superior de selección a posteriori</w:t>
            </w:r>
          </w:p>
        </w:tc>
        <w:tc>
          <w:tcPr>
            <w:tcW w:type="dxa" w:w="2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Derivado de C0</w:t>
            </w:r>
          </w:p>
        </w:tc>
      </w:tr>
      <w:tr>
        <w:tc>
          <w:tcPr>
            <w:tcW w:type="dxa" w:w="35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C1_div (reparto igual, sin comunicación)</w:t>
            </w:r>
          </w:p>
        </w:tc>
        <w:tc>
          <w:tcPr>
            <w:tcW w:type="dxa" w:w="2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Contraste primario</w:t>
            </w:r>
          </w:p>
        </w:tc>
        <w:tc>
          <w:tcPr>
            <w:tcW w:type="dxa" w:w="2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θ_k</w:t>
            </w:r>
          </w:p>
        </w:tc>
      </w:tr>
      <w:tr>
        <w:tc>
          <w:tcPr>
            <w:tcW w:type="dxa" w:w="35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C1_island (migración fija de una élite cada Δ)</w:t>
            </w:r>
          </w:p>
        </w:tc>
        <w:tc>
          <w:tcPr>
            <w:tcW w:type="dxa" w:w="2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 de modelos de islas</w:t>
            </w:r>
          </w:p>
        </w:tc>
        <w:tc>
          <w:tcPr>
            <w:tcW w:type="dxa" w:w="2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Convención de islas, citada</w:t>
            </w:r>
          </w:p>
        </w:tc>
      </w:tr>
      <w:tr>
        <w:tc>
          <w:tcPr>
            <w:tcW w:type="dxa" w:w="35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Portafolio cooperativo con diversidad (Żychowski et al. 2025)</w:t>
            </w:r>
          </w:p>
        </w:tc>
        <w:tc>
          <w:tcPr>
            <w:tcW w:type="dxa" w:w="2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Cooperativo publicado</w:t>
            </w:r>
          </w:p>
        </w:tc>
        <w:tc>
          <w:tcPr>
            <w:tcW w:type="dxa" w:w="2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original o código de los autores</w:t>
            </w:r>
          </w:p>
        </w:tc>
      </w:tr>
      <w:tr>
        <w:tc>
          <w:tcPr>
            <w:tcW w:type="dxa" w:w="35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C2p y C3p (intención fija, borrador v11)</w:t>
            </w:r>
          </w:p>
        </w:tc>
        <w:tc>
          <w:tcPr>
            <w:tcW w:type="dxa" w:w="2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Referencia de lo que no funciona</w:t>
            </w:r>
          </w:p>
        </w:tc>
        <w:tc>
          <w:tcPr>
            <w:tcW w:type="dxa" w:w="2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1 del borrador</w:t>
            </w:r>
          </w:p>
        </w:tc>
      </w:tr>
      <w:tr>
        <w:tc>
          <w:tcPr>
            <w:tcW w:type="dxa" w:w="35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L-SHADE aislado con presupuesto completo</w:t>
            </w:r>
          </w:p>
        </w:tc>
        <w:tc>
          <w:tcPr>
            <w:tcW w:type="dxa" w:w="2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Referencia externa fuerte (H5)</w:t>
            </w:r>
          </w:p>
        </w:tc>
        <w:tc>
          <w:tcPr>
            <w:tcW w:type="dxa" w:w="2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Tanabe y Fukunaga 2014</w:t>
            </w:r>
          </w:p>
        </w:tc>
      </w:tr>
      <w:tr>
        <w:tc>
          <w:tcPr>
            <w:tcW w:type="dxa" w:w="35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Propuesta (A o B, más C si supera el piloto)</w:t>
            </w:r>
          </w:p>
        </w:tc>
        <w:tc>
          <w:tcPr>
            <w:tcW w:type="dxa" w:w="2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Tratamiento</w:t>
            </w:r>
          </w:p>
        </w:tc>
        <w:tc>
          <w:tcPr>
            <w:tcW w:type="dxa" w:w="2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Fijados en la Fase 2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 el código del portafolio cooperativo no es reproducible, se reemplaza por un modelo de islas con topología de anillo y se anota en el log de desviaciones.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8. Análisis estadístico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análisis es por configuración (banco × dimensión × presupuesto) y nunca agrega entre presupuestos. Los scripts leen los CSV crudos y regeneran cada tabla del paper.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Métrica: error f(x̂) − f(x*), truncado a 0 bajo 10⁻⁸; comparación por mediana de 51 corridas y por rangos.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Rangos promedio por configuración con empate a 10⁻⁸; desviación estándar de rangos entre tratamientos.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Friedman con corrección de Iman-Davenport, reportando χ², grados de libertad y p; post-hoc de Shaffer sobre los tratamientos.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Contraste primario: propuesta vs C1_div, Wilcoxon de rangos con signo por función sobre 51 pares CRN, Holm sobre la familia de funciones, empates descartados (declarado).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Contrastes secundarios en el mismo formato: vs SBS, vs L-SHADE, vs C1_island, vs portafolio publicado, vs C3p.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Tamaño de efecto: rank-biserial pareado por función; tabla better/equal/worse por presupuesto y dimensión.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Exploratorio y etiquetado como tal: análisis por clase taxonómica y ablación de componentes del mecanismo ganador.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Suplementario: media, mediana y desviación estándar de las 51 corridas por celda.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9. Criterios de éxito y abandono por fase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fase tiene un criterio que se evalúa antes de gastar la siguiente. Un abandono en la Fase 3 no cancela el paper: el protocolo exige reportar dónde gana y dónde no, y esa discusión es parte del resultado.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1986"/>
        <w:gridCol w:w="2527"/>
      </w:tblGrid>
      <w:tr>
        <w:trPr>
          <w:tblHeader/>
        </w:trPr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2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Éxito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Abandono</w:t>
            </w:r>
          </w:p>
        </w:tc>
        <w:tc>
          <w:tcPr>
            <w:tcW w:type="dxa" w:w="2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Acción si abandono</w:t>
            </w:r>
          </w:p>
        </w:tc>
      </w:tr>
      <w:tr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Cotas</w:t>
            </w:r>
          </w:p>
        </w:tc>
        <w:tc>
          <w:tcPr>
            <w:tcW w:type="dxa" w:w="2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Virtual-best u oráculo supera a C1_div en ≥ 20/70 con Holm, mediana r ≥ 0.3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Ninguna cota supera el umbral</w:t>
            </w:r>
          </w:p>
        </w:tc>
        <w:tc>
          <w:tcPr>
            <w:tcW w:type="dxa" w:w="2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alterno con datos existentes</w:t>
            </w:r>
          </w:p>
        </w:tc>
      </w:tr>
      <w:tr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Piloto</w:t>
            </w:r>
          </w:p>
        </w:tc>
        <w:tc>
          <w:tcPr>
            <w:tcW w:type="dxa" w:w="2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candidato cumple los cuatro criterios de la sección 5 en ≥ 2 pares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Ningún candidato los cumple</w:t>
            </w:r>
          </w:p>
        </w:tc>
        <w:tc>
          <w:tcPr>
            <w:tcW w:type="dxa" w:w="2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alterno; candidatos al suplementario</w:t>
            </w:r>
          </w:p>
        </w:tc>
      </w:tr>
      <w:tr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Confirmatorio 10D</w:t>
            </w:r>
          </w:p>
        </w:tc>
        <w:tc>
          <w:tcPr>
            <w:tcW w:type="dxa" w:w="2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Propuesta mejor que peor vs C1_div con Holm en ≥ 3 de 4 presupuestos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Peor que mejor en ≥ 2 presupuestos</w:t>
            </w:r>
          </w:p>
        </w:tc>
        <w:tc>
          <w:tcPr>
            <w:tcW w:type="dxa" w:w="2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Reportar igual; acotar el claim al régimen donde gana</w:t>
            </w:r>
          </w:p>
        </w:tc>
      </w:tr>
      <w:tr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Confirmatorio 50D</w:t>
            </w:r>
          </w:p>
        </w:tc>
        <w:tc>
          <w:tcPr>
            <w:tcW w:type="dxa" w:w="2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Mismo criterio que 10D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Mismo criterio</w:t>
            </w:r>
          </w:p>
        </w:tc>
        <w:tc>
          <w:tcPr>
            <w:tcW w:type="dxa" w:w="2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Reportar igual; declarar dependencia de dimensión</w:t>
            </w:r>
          </w:p>
        </w:tc>
      </w:tr>
      <w:tr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Referencia L-SHADE</w:t>
            </w:r>
          </w:p>
        </w:tc>
        <w:tc>
          <w:tcPr>
            <w:tcW w:type="dxa" w:w="2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inferior en ≥ 2 presupuestos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Inferior en todos</w:t>
            </w:r>
          </w:p>
        </w:tc>
        <w:tc>
          <w:tcPr>
            <w:tcW w:type="dxa" w:w="2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Acotar el claim al portafolio de los mismos solvers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10. Desviaciones admisibles y registro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Toda desviación se anota en deviations-log.md con fecha, descripción, motivo e impacto, y se declara en el setup experimental o en las limitaciones del paper.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Admisible con declaración previa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admisible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Restringir 5·10⁶ a las 12 funciones del piloto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Bajar de 51 corridas en cualquier celda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Excluir F2 de CEC 2017 para todos los tratamientos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Evaluar un solo presupuesto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Reemplazar un competidor no reproducible por su equivalente declarado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Cambiar la lista de competidores tras ver resultados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Usar implementaciones oficiales de los autores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Retunear la propuesta por función, presupuesto o dimensión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Reducir CEC 2022 a 20D por definición del banco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Elegir funciones o pares después de ver resultados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Aplazar 50D a una segunda entrega, declarado en limitaciones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Retirar el baseline C1_div de cualquier tabla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Calibri" w:cs="Calibri" w:eastAsia="Calibri" w:hAnsi="Calibri"/>
      <w:b/>
      <w:bCs/>
      <w:color w:val="00459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5E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Pre-registro: cooperación entre metaheurísticas heterogéneas, fase positiva</dc:title>
  <dc:creator>Universidad de Valparaíso</dc:creator>
  <cp:lastModifiedBy>Un-named</cp:lastModifiedBy>
  <cp:revision>1</cp:revision>
  <dcterms:created xsi:type="dcterms:W3CDTF">2026-09-21T04:24:30.099Z</dcterms:created>
  <dcterms:modified xsi:type="dcterms:W3CDTF">2026-09-21T04:24:30.109Z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