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Prédiction</w:t>
      </w:r>
      <w:r>
        <w:t xml:space="preserve"> </w:t>
      </w:r>
      <w:r>
        <w:t xml:space="preserve">des</w:t>
      </w:r>
      <w:r>
        <w:t xml:space="preserve"> </w:t>
      </w:r>
      <w:r>
        <w:t xml:space="preserve">prix</w:t>
      </w:r>
      <w:r>
        <w:t xml:space="preserve"> </w:t>
      </w:r>
      <w:r>
        <w:t xml:space="preserve">de</w:t>
      </w:r>
      <w:r>
        <w:t xml:space="preserve"> </w:t>
      </w:r>
      <w:r>
        <w:t xml:space="preserve">l’immobilier</w:t>
      </w:r>
    </w:p>
    <w:p>
      <w:pPr>
        <w:pStyle w:val="Subtitle"/>
      </w:pPr>
      <w:r>
        <w:t xml:space="preserve">Projet</w:t>
      </w:r>
      <w:r>
        <w:t xml:space="preserve"> </w:t>
      </w:r>
      <w:r>
        <w:t xml:space="preserve">Machine</w:t>
      </w:r>
      <w:r>
        <w:t xml:space="preserve"> </w:t>
      </w:r>
      <w:r>
        <w:t xml:space="preserve">Learning,</w:t>
      </w:r>
      <w:r>
        <w:t xml:space="preserve"> </w:t>
      </w:r>
      <w:r>
        <w:t xml:space="preserve">Sujet</w:t>
      </w:r>
      <w:r>
        <w:t xml:space="preserve"> </w:t>
      </w:r>
      <w:r>
        <w:t xml:space="preserve">5</w:t>
      </w:r>
    </w:p>
    <w:p>
      <w:pPr>
        <w:pStyle w:val="Author"/>
      </w:pPr>
      <w:r>
        <w:t xml:space="preserve">Oumar</w:t>
      </w:r>
      <w:r>
        <w:t xml:space="preserve"> </w:t>
      </w:r>
      <w:r>
        <w:t xml:space="preserve">KA</w:t>
      </w:r>
    </w:p>
    <w:p>
      <w:pPr>
        <w:pStyle w:val="Date"/>
      </w:pPr>
      <w:r>
        <w:t xml:space="preserve">Enseignant</w:t>
      </w:r>
      <w:r>
        <w:t xml:space="preserve"> </w:t>
      </w:r>
      <w:r>
        <w:t xml:space="preserve">:</w:t>
      </w:r>
      <w:r>
        <w:t xml:space="preserve"> </w:t>
      </w:r>
      <w:r>
        <w:t xml:space="preserve">Dr</w:t>
      </w:r>
      <w:r>
        <w:t xml:space="preserve"> </w:t>
      </w:r>
      <w:r>
        <w:t xml:space="preserve">Yoro</w:t>
      </w:r>
      <w:r>
        <w:t xml:space="preserve"> </w:t>
      </w:r>
      <w:r>
        <w:t xml:space="preserve">DIA</w:t>
      </w:r>
    </w:p>
    <w:bookmarkStart w:id="20" w:name="contexte-et-objectif"/>
    <w:p>
      <w:pPr>
        <w:pStyle w:val="Heading1"/>
      </w:pPr>
      <w:r>
        <w:t xml:space="preserve">1. Contexte et objectif</w:t>
      </w:r>
    </w:p>
    <w:p>
      <w:pPr>
        <w:pStyle w:val="FirstParagraph"/>
      </w:pPr>
      <w:r>
        <w:t xml:space="preserve">Le marché immobilier a besoin d’outils d’estimation pour aider les agents, les investisseurs et les acheteurs à décider. L’objectif de ce projet est de construire un modèle qui estime le prix de vente d’une maison à partir de ses caractéristiques (surface, qualité de construction, quartier, année de construction, etc.). Il s’agit d’un problème de</w:t>
      </w:r>
      <w:r>
        <w:t xml:space="preserve"> </w:t>
      </w:r>
      <w:r>
        <w:rPr>
          <w:bCs/>
          <w:b/>
        </w:rPr>
        <w:t xml:space="preserve">régression supervisée</w:t>
      </w:r>
      <w:r>
        <w:t xml:space="preserve"> </w:t>
      </w:r>
      <w:r>
        <w:t xml:space="preserve">: on cherche un nombre (le prix), et le prix réel est connu pour les maisons utilisées à l’entraînement.</w:t>
      </w:r>
    </w:p>
    <w:p>
      <w:pPr>
        <w:pStyle w:val="BodyText"/>
      </w:pPr>
      <w:r>
        <w:t xml:space="preserve">Trois mesures évaluent les modèles :</w:t>
      </w:r>
    </w:p>
    <w:p>
      <w:pPr>
        <w:numPr>
          <w:ilvl w:val="0"/>
          <w:numId w:val="1001"/>
        </w:numPr>
        <w:pStyle w:val="Compact"/>
      </w:pPr>
      <w:r>
        <w:rPr>
          <w:bCs/>
          <w:b/>
        </w:rPr>
        <w:t xml:space="preserve">MAE</w:t>
      </w:r>
      <w:r>
        <w:t xml:space="preserve"> </w:t>
      </w:r>
      <w:r>
        <w:t xml:space="preserve">(erreur absolue moyenne) : l’erreur moyenne en dollars, sans tenir compte du sens de l’erreur.</w:t>
      </w:r>
    </w:p>
    <w:p>
      <w:pPr>
        <w:numPr>
          <w:ilvl w:val="0"/>
          <w:numId w:val="1001"/>
        </w:numPr>
        <w:pStyle w:val="Compact"/>
      </w:pPr>
      <w:r>
        <w:rPr>
          <w:bCs/>
          <w:b/>
        </w:rPr>
        <w:t xml:space="preserve">RMSE</w:t>
      </w:r>
      <w:r>
        <w:t xml:space="preserve"> </w:t>
      </w:r>
      <w:r>
        <w:t xml:space="preserve">(racine de l’erreur quadratique moyenne) : comme la MAE, mais plus sévère avec les grosses erreurs.</w:t>
      </w:r>
    </w:p>
    <w:p>
      <w:pPr>
        <w:numPr>
          <w:ilvl w:val="0"/>
          <w:numId w:val="1001"/>
        </w:numPr>
        <w:pStyle w:val="Compact"/>
      </w:pPr>
      <w:r>
        <w:rPr>
          <w:bCs/>
          <w:b/>
        </w:rPr>
        <w:t xml:space="preserve">R²</w:t>
      </w:r>
      <w:r>
        <w:t xml:space="preserve"> </w:t>
      </w:r>
      <w:r>
        <w:t xml:space="preserve">: une note sans unité entre 0 et 1, qui donne la part des différences de prix expliquée par le modèle.</w:t>
      </w:r>
    </w:p>
    <w:bookmarkEnd w:id="20"/>
    <w:bookmarkStart w:id="21" w:name="les-données"/>
    <w:p>
      <w:pPr>
        <w:pStyle w:val="Heading1"/>
      </w:pPr>
      <w:r>
        <w:t xml:space="preserve">2. Les données</w:t>
      </w:r>
    </w:p>
    <w:p>
      <w:pPr>
        <w:pStyle w:val="FirstParagraph"/>
      </w:pPr>
      <w:r>
        <w:t xml:space="preserve">La source unique est le fichier</w:t>
      </w:r>
      <w:r>
        <w:t xml:space="preserve"> </w:t>
      </w:r>
      <w:r>
        <w:rPr>
          <w:rStyle w:val="VerbatimChar"/>
        </w:rPr>
        <w:t xml:space="preserve">train.csv</w:t>
      </w:r>
      <w:r>
        <w:t xml:space="preserve"> </w:t>
      </w:r>
      <w:r>
        <w:t xml:space="preserve">du jeu de données Kaggle « House Prices : Advanced Regression Techniques » (maisons d’Ames, Iowa) :</w:t>
      </w:r>
      <w:r>
        <w:t xml:space="preserve"> </w:t>
      </w:r>
      <w:r>
        <w:rPr>
          <w:bCs/>
          <w:b/>
        </w:rPr>
        <w:t xml:space="preserve">1460 maisons</w:t>
      </w:r>
      <w:r>
        <w:t xml:space="preserve"> </w:t>
      </w:r>
      <w:r>
        <w:t xml:space="preserve">décrites par</w:t>
      </w:r>
      <w:r>
        <w:t xml:space="preserve"> </w:t>
      </w:r>
      <w:r>
        <w:rPr>
          <w:bCs/>
          <w:b/>
        </w:rPr>
        <w:t xml:space="preserve">81 colonnes</w:t>
      </w:r>
      <w:r>
        <w:t xml:space="preserve">. La cible est</w:t>
      </w:r>
      <w:r>
        <w:t xml:space="preserve"> </w:t>
      </w:r>
      <w:r>
        <w:rPr>
          <w:rStyle w:val="VerbatimChar"/>
        </w:rPr>
        <w:t xml:space="preserve">SalePrice</w:t>
      </w:r>
      <w:r>
        <w:t xml:space="preserve"> </w:t>
      </w:r>
      <w:r>
        <w:t xml:space="preserve">(prix de vente en dollars) : moyenne d’environ 180 921 dollars, médiane d’environ 163 000 dollars, minimum 34 900 dollars, maximum 755 000 dollars. La distribution est asymétrique à droite : quelques maisons très chères étirent la queue du graphique et tirent la moyenne au-dessus de la médiane.</w:t>
      </w:r>
    </w:p>
    <w:p>
      <w:pPr>
        <w:pStyle w:val="BodyText"/>
      </w:pPr>
      <w:r>
        <w:t xml:space="preserve">Un nuage de points surface habitable / prix montre une tendance nette : plus la surface est grande, plus le prix est élevé.</w:t>
      </w:r>
    </w:p>
    <w:bookmarkEnd w:id="21"/>
    <w:bookmarkStart w:id="24" w:name="nettoyage-des-données"/>
    <w:p>
      <w:pPr>
        <w:pStyle w:val="Heading1"/>
      </w:pPr>
      <w:r>
        <w:t xml:space="preserve">3. Nettoyage des données</w:t>
      </w:r>
    </w:p>
    <w:bookmarkStart w:id="22" w:name="les-cases-vides"/>
    <w:p>
      <w:pPr>
        <w:pStyle w:val="Heading2"/>
      </w:pPr>
      <w:r>
        <w:t xml:space="preserve">3.1 Les cases vides</w:t>
      </w:r>
    </w:p>
    <w:p>
      <w:pPr>
        <w:pStyle w:val="FirstParagraph"/>
      </w:pPr>
      <w:r>
        <w:t xml:space="preserve">19 colonnes contenaient des cases vides. Avant de les traiter, leur sens a été vérifié dans le fichier</w:t>
      </w:r>
      <w:r>
        <w:t xml:space="preserve"> </w:t>
      </w:r>
      <w:r>
        <w:rPr>
          <w:rStyle w:val="VerbatimChar"/>
        </w:rPr>
        <w:t xml:space="preserve">data_description.txt</w:t>
      </w:r>
      <w:r>
        <w:t xml:space="preserve"> </w:t>
      </w:r>
      <w:r>
        <w:t xml:space="preserve">: une case vide peut être une</w:t>
      </w:r>
      <w:r>
        <w:t xml:space="preserve"> </w:t>
      </w:r>
      <w:r>
        <w:rPr>
          <w:bCs/>
          <w:b/>
        </w:rPr>
        <w:t xml:space="preserve">donnée perdue</w:t>
      </w:r>
      <w:r>
        <w:t xml:space="preserve"> </w:t>
      </w:r>
      <w:r>
        <w:t xml:space="preserve">ou une</w:t>
      </w:r>
      <w:r>
        <w:t xml:space="preserve"> </w:t>
      </w:r>
      <w:r>
        <w:rPr>
          <w:bCs/>
          <w:b/>
        </w:rPr>
        <w:t xml:space="preserve">absence</w:t>
      </w:r>
      <w:r>
        <w:t xml:space="preserve"> </w:t>
      </w:r>
      <w:r>
        <w:t xml:space="preserve">(par exemple « pas de piscine »). Remplir une absence par une valeur inventée serait faux.</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2955"/>
        <w:gridCol w:w="2364"/>
        <w:gridCol w:w="2600"/>
      </w:tblGrid>
      <w:tr>
        <w:trPr>
          <w:tblHeader w:val="true"/>
        </w:trPr>
        <w:tc>
          <w:tcPr/>
          <w:p>
            <w:pPr>
              <w:pStyle w:val="Compact"/>
              <w:jc w:val="left"/>
            </w:pPr>
            <w:r>
              <w:t xml:space="preserve">Colonnes</w:t>
            </w:r>
          </w:p>
        </w:tc>
        <w:tc>
          <w:tcPr/>
          <w:p>
            <w:pPr>
              <w:pStyle w:val="Compact"/>
              <w:jc w:val="left"/>
            </w:pPr>
            <w:r>
              <w:t xml:space="preserve">Sens du vide</w:t>
            </w:r>
          </w:p>
        </w:tc>
        <w:tc>
          <w:tcPr/>
          <w:p>
            <w:pPr>
              <w:pStyle w:val="Compact"/>
              <w:jc w:val="left"/>
            </w:pPr>
            <w:r>
              <w:t xml:space="preserve">Traitement</w:t>
            </w:r>
          </w:p>
        </w:tc>
      </w:tr>
      <w:tr>
        <w:tc>
          <w:tcPr/>
          <w:p>
            <w:pPr>
              <w:pStyle w:val="Compact"/>
              <w:jc w:val="left"/>
            </w:pPr>
            <w:r>
              <w:rPr>
                <w:rStyle w:val="VerbatimChar"/>
              </w:rPr>
              <w:t xml:space="preserve">PoolQC</w:t>
            </w:r>
            <w:r>
              <w:t xml:space="preserve"> </w:t>
            </w:r>
            <w:r>
              <w:t xml:space="preserve">et 12 autres (ruelle, clôture, cheminée, garage, sous-sol)</w:t>
            </w:r>
          </w:p>
        </w:tc>
        <w:tc>
          <w:tcPr/>
          <w:p>
            <w:pPr>
              <w:pStyle w:val="Compact"/>
              <w:jc w:val="left"/>
            </w:pPr>
            <w:r>
              <w:t xml:space="preserve">absence</w:t>
            </w:r>
          </w:p>
        </w:tc>
        <w:tc>
          <w:tcPr/>
          <w:p>
            <w:pPr>
              <w:pStyle w:val="Compact"/>
              <w:jc w:val="left"/>
            </w:pPr>
            <w:r>
              <w:t xml:space="preserve">remplacées par « Aucune »</w:t>
            </w:r>
          </w:p>
        </w:tc>
      </w:tr>
      <w:tr>
        <w:tc>
          <w:tcPr/>
          <w:p>
            <w:pPr>
              <w:pStyle w:val="Compact"/>
              <w:jc w:val="left"/>
            </w:pPr>
            <w:r>
              <w:rPr>
                <w:rStyle w:val="VerbatimChar"/>
              </w:rPr>
              <w:t xml:space="preserve">MasVnrType</w:t>
            </w:r>
          </w:p>
        </w:tc>
        <w:tc>
          <w:tcPr/>
          <w:p>
            <w:pPr>
              <w:pStyle w:val="Compact"/>
              <w:jc w:val="left"/>
            </w:pPr>
            <w:r>
              <w:t xml:space="preserve">le mot « None » du fichier, lu comme case vide</w:t>
            </w:r>
          </w:p>
        </w:tc>
        <w:tc>
          <w:tcPr/>
          <w:p>
            <w:pPr>
              <w:pStyle w:val="Compact"/>
              <w:jc w:val="left"/>
            </w:pPr>
            <w:r>
              <w:t xml:space="preserve">« Aucune »</w:t>
            </w:r>
          </w:p>
        </w:tc>
      </w:tr>
      <w:tr>
        <w:tc>
          <w:tcPr/>
          <w:p>
            <w:pPr>
              <w:pStyle w:val="Compact"/>
              <w:jc w:val="left"/>
            </w:pPr>
            <w:r>
              <w:rPr>
                <w:rStyle w:val="VerbatimChar"/>
              </w:rPr>
              <w:t xml:space="preserve">MasVnrArea</w:t>
            </w:r>
          </w:p>
        </w:tc>
        <w:tc>
          <w:tcPr/>
          <w:p>
            <w:pPr>
              <w:pStyle w:val="Compact"/>
              <w:jc w:val="left"/>
            </w:pPr>
            <w:r>
              <w:t xml:space="preserve">pas de placage de maçonnerie</w:t>
            </w:r>
          </w:p>
        </w:tc>
        <w:tc>
          <w:tcPr/>
          <w:p>
            <w:pPr>
              <w:pStyle w:val="Compact"/>
              <w:jc w:val="left"/>
            </w:pPr>
            <w:r>
              <w:t xml:space="preserve">0 (une surface a un zéro naturel)</w:t>
            </w:r>
          </w:p>
        </w:tc>
      </w:tr>
      <w:tr>
        <w:tc>
          <w:tcPr/>
          <w:p>
            <w:pPr>
              <w:pStyle w:val="Compact"/>
              <w:jc w:val="left"/>
            </w:pPr>
            <w:r>
              <w:rPr>
                <w:rStyle w:val="VerbatimChar"/>
              </w:rPr>
              <w:t xml:space="preserve">GarageYrBlt</w:t>
            </w:r>
          </w:p>
        </w:tc>
        <w:tc>
          <w:tcPr/>
          <w:p>
            <w:pPr>
              <w:pStyle w:val="Compact"/>
              <w:jc w:val="left"/>
            </w:pPr>
            <w:r>
              <w:t xml:space="preserve">pas de garage</w:t>
            </w:r>
          </w:p>
        </w:tc>
        <w:tc>
          <w:tcPr/>
          <w:p>
            <w:pPr>
              <w:pStyle w:val="Compact"/>
              <w:jc w:val="left"/>
            </w:pPr>
            <w:r>
              <w:t xml:space="preserve">année de construction de la maison (0 serait absurde pour une année)</w:t>
            </w:r>
          </w:p>
        </w:tc>
      </w:tr>
      <w:tr>
        <w:tc>
          <w:tcPr/>
          <w:p>
            <w:pPr>
              <w:pStyle w:val="Compact"/>
              <w:jc w:val="left"/>
            </w:pPr>
            <w:r>
              <w:rPr>
                <w:rStyle w:val="VerbatimChar"/>
              </w:rPr>
              <w:t xml:space="preserve">LotFrontage</w:t>
            </w:r>
          </w:p>
        </w:tc>
        <w:tc>
          <w:tcPr/>
          <w:p>
            <w:pPr>
              <w:pStyle w:val="Compact"/>
              <w:jc w:val="left"/>
            </w:pPr>
            <w:r>
              <w:t xml:space="preserve">donnée perdue</w:t>
            </w:r>
          </w:p>
        </w:tc>
        <w:tc>
          <w:tcPr/>
          <w:p>
            <w:pPr>
              <w:pStyle w:val="Compact"/>
              <w:jc w:val="left"/>
            </w:pPr>
            <w:r>
              <w:t xml:space="preserve">médiane de la colonne</w:t>
            </w:r>
          </w:p>
        </w:tc>
      </w:tr>
      <w:tr>
        <w:tc>
          <w:tcPr/>
          <w:p>
            <w:pPr>
              <w:pStyle w:val="Compact"/>
              <w:jc w:val="left"/>
            </w:pPr>
            <w:r>
              <w:rPr>
                <w:rStyle w:val="VerbatimChar"/>
              </w:rPr>
              <w:t xml:space="preserve">Electrical</w:t>
            </w:r>
          </w:p>
        </w:tc>
        <w:tc>
          <w:tcPr/>
          <w:p>
            <w:pPr>
              <w:pStyle w:val="Compact"/>
              <w:jc w:val="left"/>
            </w:pPr>
            <w:r>
              <w:t xml:space="preserve">donnée perdue (1 case)</w:t>
            </w:r>
          </w:p>
        </w:tc>
        <w:tc>
          <w:tcPr/>
          <w:p>
            <w:pPr>
              <w:pStyle w:val="Compact"/>
              <w:jc w:val="left"/>
            </w:pPr>
            <w:r>
              <w:t xml:space="preserve">mode (valeur la plus fréquente)</w:t>
            </w:r>
          </w:p>
        </w:tc>
      </w:tr>
    </w:tbl>
    <w:p>
      <w:pPr>
        <w:pStyle w:val="BodyText"/>
      </w:pPr>
      <w:r>
        <w:t xml:space="preserve">La médiane est préférée à la moyenne pour les nombres, car la moyenne se laisse tirer par les valeurs extrêmes.</w:t>
      </w:r>
    </w:p>
    <w:bookmarkEnd w:id="22"/>
    <w:bookmarkStart w:id="23" w:name="doublons-et-valeurs-aberrantes"/>
    <w:p>
      <w:pPr>
        <w:pStyle w:val="Heading2"/>
      </w:pPr>
      <w:r>
        <w:t xml:space="preserve">3.2 Doublons et valeurs aberrantes</w:t>
      </w:r>
    </w:p>
    <w:p>
      <w:pPr>
        <w:pStyle w:val="FirstParagraph"/>
      </w:pPr>
      <w:r>
        <w:t xml:space="preserve">Aucun doublon n’a été trouvé. Un nuage de points surface / prix a fait apparaître deux maisons (Id 524 et 1299, surfaces de 4676 et 5642 pieds carrés, prix de 184 750 et 160 000 dollars) très grandes mais peu chères, qui contredisent la tendance et fausseraient l’apprentissage. Elles ont été retirées : le jeu de données compte désormais</w:t>
      </w:r>
      <w:r>
        <w:t xml:space="preserve"> </w:t>
      </w:r>
      <w:r>
        <w:rPr>
          <w:bCs/>
          <w:b/>
        </w:rPr>
        <w:t xml:space="preserve">1458 maisons</w:t>
      </w:r>
      <w:r>
        <w:t xml:space="preserve">. Les deux maisons grandes et chères (environ 750 000 dollars) suivent la tendance et sont conservées.</w:t>
      </w:r>
    </w:p>
    <w:bookmarkEnd w:id="23"/>
    <w:bookmarkEnd w:id="24"/>
    <w:bookmarkStart w:id="27" w:name="préparation-des-variables"/>
    <w:p>
      <w:pPr>
        <w:pStyle w:val="Heading1"/>
      </w:pPr>
      <w:r>
        <w:t xml:space="preserve">4. Préparation des variables</w:t>
      </w:r>
    </w:p>
    <w:p>
      <w:pPr>
        <w:numPr>
          <w:ilvl w:val="0"/>
          <w:numId w:val="1002"/>
        </w:numPr>
        <w:pStyle w:val="Compact"/>
      </w:pPr>
      <w:r>
        <w:rPr>
          <w:bCs/>
          <w:b/>
        </w:rPr>
        <w:t xml:space="preserve">Séparation indices / réponse</w:t>
      </w:r>
      <w:r>
        <w:t xml:space="preserve"> </w:t>
      </w:r>
      <w:r>
        <w:t xml:space="preserve">:</w:t>
      </w:r>
      <w:r>
        <w:t xml:space="preserve"> </w:t>
      </w:r>
      <w:r>
        <w:rPr>
          <w:rStyle w:val="VerbatimChar"/>
        </w:rPr>
        <w:t xml:space="preserve">y</w:t>
      </w:r>
      <w:r>
        <w:t xml:space="preserve"> </w:t>
      </w:r>
      <w:r>
        <w:t xml:space="preserve">contient le prix ;</w:t>
      </w:r>
      <w:r>
        <w:t xml:space="preserve"> </w:t>
      </w:r>
      <w:r>
        <w:rPr>
          <w:rStyle w:val="VerbatimChar"/>
        </w:rPr>
        <w:t xml:space="preserve">X</w:t>
      </w:r>
      <w:r>
        <w:t xml:space="preserve"> </w:t>
      </w:r>
      <w:r>
        <w:t xml:space="preserve">contient les indices, privés de</w:t>
      </w:r>
      <w:r>
        <w:t xml:space="preserve"> </w:t>
      </w:r>
      <w:r>
        <w:rPr>
          <w:rStyle w:val="VerbatimChar"/>
        </w:rPr>
        <w:t xml:space="preserve">SalePrice</w:t>
      </w:r>
      <w:r>
        <w:t xml:space="preserve"> </w:t>
      </w:r>
      <w:r>
        <w:t xml:space="preserve">(pour ne pas donner la réponse au modèle) et de</w:t>
      </w:r>
      <w:r>
        <w:t xml:space="preserve"> </w:t>
      </w:r>
      <w:r>
        <w:rPr>
          <w:rStyle w:val="VerbatimChar"/>
        </w:rPr>
        <w:t xml:space="preserve">Id</w:t>
      </w:r>
      <w:r>
        <w:t xml:space="preserve"> </w:t>
      </w:r>
      <w:r>
        <w:t xml:space="preserve">(un numéro sans lien avec le prix), soit</w:t>
      </w:r>
      <w:r>
        <w:t xml:space="preserve"> </w:t>
      </w:r>
      <w:r>
        <w:rPr>
          <w:bCs/>
          <w:b/>
        </w:rPr>
        <w:t xml:space="preserve">79 variables</w:t>
      </w:r>
      <w:r>
        <w:t xml:space="preserve">.</w:t>
      </w:r>
    </w:p>
    <w:p>
      <w:pPr>
        <w:numPr>
          <w:ilvl w:val="0"/>
          <w:numId w:val="1002"/>
        </w:numPr>
        <w:pStyle w:val="Compact"/>
      </w:pPr>
      <w:r>
        <w:rPr>
          <w:bCs/>
          <w:b/>
        </w:rPr>
        <w:t xml:space="preserve">Encodage one-hot</w:t>
      </w:r>
      <w:r>
        <w:t xml:space="preserve"> </w:t>
      </w:r>
      <w:r>
        <w:t xml:space="preserve">: les 43 colonnes de texte deviennent des colonnes de 0 et de 1, sans inventer d’ordre entre les catégories. On passe de 79 à</w:t>
      </w:r>
      <w:r>
        <w:t xml:space="preserve"> </w:t>
      </w:r>
      <w:r>
        <w:rPr>
          <w:bCs/>
          <w:b/>
        </w:rPr>
        <w:t xml:space="preserve">301 colonnes</w:t>
      </w:r>
      <w:r>
        <w:t xml:space="preserve">.</w:t>
      </w:r>
    </w:p>
    <w:p>
      <w:pPr>
        <w:numPr>
          <w:ilvl w:val="0"/>
          <w:numId w:val="1002"/>
        </w:numPr>
        <w:pStyle w:val="Compact"/>
      </w:pPr>
      <w:r>
        <w:rPr>
          <w:bCs/>
          <w:b/>
        </w:rPr>
        <w:t xml:space="preserve">Séparation entraînement / test</w:t>
      </w:r>
      <w:r>
        <w:t xml:space="preserve"> </w:t>
      </w:r>
      <w:r>
        <w:t xml:space="preserve">: 80 % / 20 %, soit</w:t>
      </w:r>
      <w:r>
        <w:t xml:space="preserve"> </w:t>
      </w:r>
      <w:r>
        <w:rPr>
          <w:bCs/>
          <w:b/>
        </w:rPr>
        <w:t xml:space="preserve">1166 maisons</w:t>
      </w:r>
      <w:r>
        <w:t xml:space="preserve"> </w:t>
      </w:r>
      <w:r>
        <w:t xml:space="preserve">pour l’entraînement et</w:t>
      </w:r>
      <w:r>
        <w:t xml:space="preserve"> </w:t>
      </w:r>
      <w:r>
        <w:rPr>
          <w:bCs/>
          <w:b/>
        </w:rPr>
        <w:t xml:space="preserve">292</w:t>
      </w:r>
      <w:r>
        <w:t xml:space="preserve"> </w:t>
      </w:r>
      <w:r>
        <w:t xml:space="preserve">pour le test (</w:t>
      </w:r>
      <w:r>
        <w:rPr>
          <w:rStyle w:val="VerbatimChar"/>
        </w:rPr>
        <w:t xml:space="preserve">random_state = 42</w:t>
      </w:r>
      <w:r>
        <w:t xml:space="preserve">). Le jeu de test n’est jamais montré au modèle pendant l’apprentissage.</w:t>
      </w:r>
    </w:p>
    <w:bookmarkStart w:id="25" w:name="création-de-variable-lâge-du-bâtiment"/>
    <w:p>
      <w:pPr>
        <w:pStyle w:val="Heading2"/>
      </w:pPr>
      <w:r>
        <w:t xml:space="preserve">4.1 Création de variable : l’âge du bâtiment</w:t>
      </w:r>
    </w:p>
    <w:p>
      <w:pPr>
        <w:pStyle w:val="FirstParagraph"/>
      </w:pPr>
      <w:r>
        <w:t xml:space="preserve">L’âge du bâtiment (année de vente moins année de construction) a été créé. Il est lié au prix (corrélation de −0,524 : plus la maison est ancienne, moins elle est chère), mais il</w:t>
      </w:r>
      <w:r>
        <w:t xml:space="preserve"> </w:t>
      </w:r>
      <w:r>
        <w:rPr>
          <w:bCs/>
          <w:b/>
        </w:rPr>
        <w:t xml:space="preserve">n’améliore pas</w:t>
      </w:r>
      <w:r>
        <w:t xml:space="preserve"> </w:t>
      </w:r>
      <w:r>
        <w:t xml:space="preserve">Ridge : MAE 16 807, RMSE 23 214 et R² 0,902, identiques aux résultats sans cette variable. Elle est redondante : le modèle linéaire possède déjà les deux colonnes dont elle est la différence. La distance aux écoles et aux hôpitaux, citée dans l’énoncé, n’est pas calculable : le jeu de données ne contient pas ces informations.</w:t>
      </w:r>
    </w:p>
    <w:bookmarkEnd w:id="25"/>
    <w:bookmarkStart w:id="26" w:name="normalisation"/>
    <w:p>
      <w:pPr>
        <w:pStyle w:val="Heading2"/>
      </w:pPr>
      <w:r>
        <w:t xml:space="preserve">4.2 Normalisation</w:t>
      </w:r>
    </w:p>
    <w:p>
      <w:pPr>
        <w:pStyle w:val="FirstParagraph"/>
      </w:pPr>
      <w:r>
        <w:t xml:space="preserve">Les colonnes ont des échelles très différentes (</w:t>
      </w:r>
      <w:r>
        <w:rPr>
          <w:rStyle w:val="VerbatimChar"/>
        </w:rPr>
        <w:t xml:space="preserve">LotArea</w:t>
      </w:r>
      <w:r>
        <w:t xml:space="preserve"> </w:t>
      </w:r>
      <w:r>
        <w:t xml:space="preserve">va jusqu’à 215 245,</w:t>
      </w:r>
      <w:r>
        <w:t xml:space="preserve"> </w:t>
      </w:r>
      <w:r>
        <w:rPr>
          <w:rStyle w:val="VerbatimChar"/>
        </w:rPr>
        <w:t xml:space="preserve">OverallQual</w:t>
      </w:r>
      <w:r>
        <w:t xml:space="preserve"> </w:t>
      </w:r>
      <w:r>
        <w:t xml:space="preserve">de 1 à 10). Les colonnes numériques ont été standardisées (moyenne 0, écart-type 1), avec des paramètres calculés sur l’entraînement seulement, pour que le test reste une vraie surprise. Résultat : MAE 16 853, RMSE 23 194 et R² 0,903, soit des performances quasi identiques à celles de Ridge sans standardisation. Sur ces données, la normalisation ne change pas le résultat, mais elle reste une bonne pratique et devient nécessaire pour d’autres modèles (Lasso, réseau de neurones).</w:t>
      </w:r>
    </w:p>
    <w:bookmarkEnd w:id="26"/>
    <w:bookmarkEnd w:id="27"/>
    <w:bookmarkStart w:id="31" w:name="modèles-testés-et-résultats"/>
    <w:p>
      <w:pPr>
        <w:pStyle w:val="Heading1"/>
      </w:pPr>
      <w:r>
        <w:t xml:space="preserve">5. Modèles testés et résultats</w:t>
      </w:r>
    </w:p>
    <w:bookmarkStart w:id="28" w:name="les-modèles"/>
    <w:p>
      <w:pPr>
        <w:pStyle w:val="Heading2"/>
      </w:pPr>
      <w:r>
        <w:t xml:space="preserve">5.1 Les modèles</w:t>
      </w:r>
    </w:p>
    <w:p>
      <w:pPr>
        <w:numPr>
          <w:ilvl w:val="0"/>
          <w:numId w:val="1003"/>
        </w:numPr>
        <w:pStyle w:val="Compact"/>
      </w:pPr>
      <w:r>
        <w:rPr>
          <w:bCs/>
          <w:b/>
        </w:rPr>
        <w:t xml:space="preserve">Régression linéaire</w:t>
      </w:r>
      <w:r>
        <w:t xml:space="preserve"> </w:t>
      </w:r>
      <w:r>
        <w:t xml:space="preserve">: trace la meilleure « droite » à travers les données, avec un poids par colonne.</w:t>
      </w:r>
    </w:p>
    <w:p>
      <w:pPr>
        <w:numPr>
          <w:ilvl w:val="0"/>
          <w:numId w:val="1003"/>
        </w:numPr>
        <w:pStyle w:val="Compact"/>
      </w:pPr>
      <w:r>
        <w:rPr>
          <w:bCs/>
          <w:b/>
        </w:rPr>
        <w:t xml:space="preserve">Ridge</w:t>
      </w:r>
      <w:r>
        <w:t xml:space="preserve"> </w:t>
      </w:r>
      <w:r>
        <w:t xml:space="preserve">: régression linéaire avec un frein (</w:t>
      </w:r>
      <w:r>
        <w:rPr>
          <w:rStyle w:val="VerbatimChar"/>
        </w:rPr>
        <w:t xml:space="preserve">alpha</w:t>
      </w:r>
      <w:r>
        <w:t xml:space="preserve">) sur les poids, pour éviter l’apprentissage par cœur.</w:t>
      </w:r>
    </w:p>
    <w:p>
      <w:pPr>
        <w:numPr>
          <w:ilvl w:val="0"/>
          <w:numId w:val="1003"/>
        </w:numPr>
        <w:pStyle w:val="Compact"/>
      </w:pPr>
      <w:r>
        <w:rPr>
          <w:bCs/>
          <w:b/>
        </w:rPr>
        <w:t xml:space="preserve">Lasso</w:t>
      </w:r>
      <w:r>
        <w:t xml:space="preserve"> </w:t>
      </w:r>
      <w:r>
        <w:t xml:space="preserve">: comme Ridge, mais le frein peut ramener des poids exactement à zéro, donc éliminer des colonnes (174 poids sur 301 ici).</w:t>
      </w:r>
    </w:p>
    <w:p>
      <w:pPr>
        <w:numPr>
          <w:ilvl w:val="0"/>
          <w:numId w:val="1003"/>
        </w:numPr>
        <w:pStyle w:val="Compact"/>
      </w:pPr>
      <w:r>
        <w:rPr>
          <w:bCs/>
          <w:b/>
        </w:rPr>
        <w:t xml:space="preserve">Forêt aléatoire</w:t>
      </w:r>
      <w:r>
        <w:t xml:space="preserve"> </w:t>
      </w:r>
      <w:r>
        <w:t xml:space="preserve">: 200 arbres de décision dont les réponses sont moyennées.</w:t>
      </w:r>
    </w:p>
    <w:p>
      <w:pPr>
        <w:numPr>
          <w:ilvl w:val="0"/>
          <w:numId w:val="1003"/>
        </w:numPr>
        <w:pStyle w:val="Compact"/>
      </w:pPr>
      <w:r>
        <w:rPr>
          <w:bCs/>
          <w:b/>
        </w:rPr>
        <w:t xml:space="preserve">Arbre de décision</w:t>
      </w:r>
      <w:r>
        <w:t xml:space="preserve"> </w:t>
      </w:r>
      <w:r>
        <w:t xml:space="preserve">: une suite de questions oui/non, profondeur limitée à 6.</w:t>
      </w:r>
    </w:p>
    <w:p>
      <w:pPr>
        <w:numPr>
          <w:ilvl w:val="0"/>
          <w:numId w:val="1003"/>
        </w:numPr>
        <w:pStyle w:val="Compact"/>
      </w:pPr>
      <w:r>
        <w:rPr>
          <w:bCs/>
          <w:b/>
        </w:rPr>
        <w:t xml:space="preserve">Réseau de neurones</w:t>
      </w:r>
      <w:r>
        <w:t xml:space="preserve"> </w:t>
      </w:r>
      <w:r>
        <w:t xml:space="preserve">: deux couches cachées (64 puis 32 neurones), sur données standardisées.</w:t>
      </w:r>
    </w:p>
    <w:bookmarkEnd w:id="28"/>
    <w:bookmarkStart w:id="29" w:name="résultats-sur-les-292-maisons-de-test"/>
    <w:p>
      <w:pPr>
        <w:pStyle w:val="Heading2"/>
      </w:pPr>
      <w:r>
        <w:t xml:space="preserve">5.2 Résultats sur les 292 maisons de test</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3655"/>
        <w:gridCol w:w="1066"/>
        <w:gridCol w:w="1066"/>
        <w:gridCol w:w="1066"/>
        <w:gridCol w:w="1066"/>
      </w:tblGrid>
      <w:tr>
        <w:trPr>
          <w:tblHeader w:val="true"/>
        </w:trPr>
        <w:tc>
          <w:tcPr/>
          <w:p>
            <w:pPr>
              <w:pStyle w:val="Compact"/>
              <w:jc w:val="left"/>
            </w:pPr>
            <w:r>
              <w:t xml:space="preserve">Modèle</w:t>
            </w:r>
          </w:p>
        </w:tc>
        <w:tc>
          <w:tcPr/>
          <w:p>
            <w:pPr>
              <w:pStyle w:val="Compact"/>
              <w:jc w:val="right"/>
            </w:pPr>
            <w:r>
              <w:t xml:space="preserve">MAE (dollars)</w:t>
            </w:r>
          </w:p>
        </w:tc>
        <w:tc>
          <w:tcPr/>
          <w:p>
            <w:pPr>
              <w:pStyle w:val="Compact"/>
              <w:jc w:val="right"/>
            </w:pPr>
            <w:r>
              <w:t xml:space="preserve">RMSE (dollars)</w:t>
            </w:r>
          </w:p>
        </w:tc>
        <w:tc>
          <w:tcPr/>
          <w:p>
            <w:pPr>
              <w:pStyle w:val="Compact"/>
              <w:jc w:val="right"/>
            </w:pPr>
            <w:r>
              <w:t xml:space="preserve">R² test</w:t>
            </w:r>
          </w:p>
        </w:tc>
        <w:tc>
          <w:tcPr/>
          <w:p>
            <w:pPr>
              <w:pStyle w:val="Compact"/>
              <w:jc w:val="right"/>
            </w:pPr>
            <w:r>
              <w:t xml:space="preserve">R² entraînement</w:t>
            </w:r>
          </w:p>
        </w:tc>
      </w:tr>
      <w:tr>
        <w:tc>
          <w:tcPr/>
          <w:p>
            <w:pPr>
              <w:pStyle w:val="Compact"/>
              <w:jc w:val="left"/>
            </w:pPr>
            <w:r>
              <w:t xml:space="preserve">Régression linéaire</w:t>
            </w:r>
          </w:p>
        </w:tc>
        <w:tc>
          <w:tcPr/>
          <w:p>
            <w:pPr>
              <w:pStyle w:val="Compact"/>
              <w:jc w:val="right"/>
            </w:pPr>
            <w:r>
              <w:t xml:space="preserve">18 207</w:t>
            </w:r>
          </w:p>
        </w:tc>
        <w:tc>
          <w:tcPr/>
          <w:p>
            <w:pPr>
              <w:pStyle w:val="Compact"/>
              <w:jc w:val="right"/>
            </w:pPr>
            <w:r>
              <w:t xml:space="preserve">25 759</w:t>
            </w:r>
          </w:p>
        </w:tc>
        <w:tc>
          <w:tcPr/>
          <w:p>
            <w:pPr>
              <w:pStyle w:val="Compact"/>
              <w:jc w:val="right"/>
            </w:pPr>
            <w:r>
              <w:t xml:space="preserve">0,880</w:t>
            </w:r>
          </w:p>
        </w:tc>
        <w:tc>
          <w:tcPr/>
          <w:p>
            <w:pPr>
              <w:pStyle w:val="Compact"/>
              <w:jc w:val="right"/>
            </w:pPr>
            <w:r>
              <w:t xml:space="preserve">0,944</w:t>
            </w:r>
          </w:p>
        </w:tc>
      </w:tr>
      <w:tr>
        <w:tc>
          <w:tcPr/>
          <w:p>
            <w:pPr>
              <w:pStyle w:val="Compact"/>
              <w:jc w:val="left"/>
            </w:pPr>
            <w:r>
              <w:rPr>
                <w:bCs/>
                <w:b/>
              </w:rPr>
              <w:t xml:space="preserve">Ridge (alpha = 10)</w:t>
            </w:r>
          </w:p>
        </w:tc>
        <w:tc>
          <w:tcPr/>
          <w:p>
            <w:pPr>
              <w:pStyle w:val="Compact"/>
              <w:jc w:val="right"/>
            </w:pPr>
            <w:r>
              <w:rPr>
                <w:bCs/>
                <w:b/>
              </w:rPr>
              <w:t xml:space="preserve">16 807</w:t>
            </w:r>
          </w:p>
        </w:tc>
        <w:tc>
          <w:tcPr/>
          <w:p>
            <w:pPr>
              <w:pStyle w:val="Compact"/>
              <w:jc w:val="right"/>
            </w:pPr>
            <w:r>
              <w:rPr>
                <w:bCs/>
                <w:b/>
              </w:rPr>
              <w:t xml:space="preserve">23 213</w:t>
            </w:r>
          </w:p>
        </w:tc>
        <w:tc>
          <w:tcPr/>
          <w:p>
            <w:pPr>
              <w:pStyle w:val="Compact"/>
              <w:jc w:val="right"/>
            </w:pPr>
            <w:r>
              <w:rPr>
                <w:bCs/>
                <w:b/>
              </w:rPr>
              <w:t xml:space="preserve">0,902</w:t>
            </w:r>
          </w:p>
        </w:tc>
        <w:tc>
          <w:tcPr/>
          <w:p>
            <w:pPr>
              <w:pStyle w:val="Compact"/>
              <w:jc w:val="right"/>
            </w:pPr>
            <w:r>
              <w:t xml:space="preserve">0,936</w:t>
            </w:r>
          </w:p>
        </w:tc>
      </w:tr>
      <w:tr>
        <w:tc>
          <w:tcPr/>
          <w:p>
            <w:pPr>
              <w:pStyle w:val="Compact"/>
              <w:jc w:val="left"/>
            </w:pPr>
            <w:r>
              <w:t xml:space="preserve">Ridge, variables standardisées</w:t>
            </w:r>
          </w:p>
        </w:tc>
        <w:tc>
          <w:tcPr/>
          <w:p>
            <w:pPr>
              <w:pStyle w:val="Compact"/>
              <w:jc w:val="right"/>
            </w:pPr>
            <w:r>
              <w:t xml:space="preserve">16 853</w:t>
            </w:r>
          </w:p>
        </w:tc>
        <w:tc>
          <w:tcPr/>
          <w:p>
            <w:pPr>
              <w:pStyle w:val="Compact"/>
              <w:jc w:val="right"/>
            </w:pPr>
            <w:r>
              <w:t xml:space="preserve">23 194</w:t>
            </w:r>
          </w:p>
        </w:tc>
        <w:tc>
          <w:tcPr/>
          <w:p>
            <w:pPr>
              <w:pStyle w:val="Compact"/>
              <w:jc w:val="right"/>
            </w:pPr>
            <w:r>
              <w:t xml:space="preserve">0,903</w:t>
            </w:r>
          </w:p>
        </w:tc>
        <w:tc>
          <w:tcPr/>
          <w:p>
            <w:pPr>
              <w:pStyle w:val="Compact"/>
              <w:jc w:val="right"/>
            </w:pPr>
            <w:r>
              <w:t xml:space="preserve">non mesuré</w:t>
            </w:r>
          </w:p>
        </w:tc>
      </w:tr>
      <w:tr>
        <w:tc>
          <w:tcPr/>
          <w:p>
            <w:pPr>
              <w:pStyle w:val="Compact"/>
              <w:jc w:val="left"/>
            </w:pPr>
            <w:r>
              <w:t xml:space="preserve">Lasso (alpha = 100)</w:t>
            </w:r>
          </w:p>
        </w:tc>
        <w:tc>
          <w:tcPr/>
          <w:p>
            <w:pPr>
              <w:pStyle w:val="Compact"/>
              <w:jc w:val="right"/>
            </w:pPr>
            <w:r>
              <w:t xml:space="preserve">16 286</w:t>
            </w:r>
          </w:p>
        </w:tc>
        <w:tc>
          <w:tcPr/>
          <w:p>
            <w:pPr>
              <w:pStyle w:val="Compact"/>
              <w:jc w:val="right"/>
            </w:pPr>
            <w:r>
              <w:t xml:space="preserve">22 937</w:t>
            </w:r>
          </w:p>
        </w:tc>
        <w:tc>
          <w:tcPr/>
          <w:p>
            <w:pPr>
              <w:pStyle w:val="Compact"/>
              <w:jc w:val="right"/>
            </w:pPr>
            <w:r>
              <w:t xml:space="preserve">0,905</w:t>
            </w:r>
          </w:p>
        </w:tc>
        <w:tc>
          <w:tcPr/>
          <w:p>
            <w:pPr>
              <w:pStyle w:val="Compact"/>
              <w:jc w:val="right"/>
            </w:pPr>
            <w:r>
              <w:t xml:space="preserve">non mesuré</w:t>
            </w:r>
          </w:p>
        </w:tc>
      </w:tr>
      <w:tr>
        <w:tc>
          <w:tcPr/>
          <w:p>
            <w:pPr>
              <w:pStyle w:val="Compact"/>
              <w:jc w:val="left"/>
            </w:pPr>
            <w:r>
              <w:t xml:space="preserve">Forêt aléatoire</w:t>
            </w:r>
          </w:p>
        </w:tc>
        <w:tc>
          <w:tcPr/>
          <w:p>
            <w:pPr>
              <w:pStyle w:val="Compact"/>
              <w:jc w:val="right"/>
            </w:pPr>
            <w:r>
              <w:t xml:space="preserve">16 860</w:t>
            </w:r>
          </w:p>
        </w:tc>
        <w:tc>
          <w:tcPr/>
          <w:p>
            <w:pPr>
              <w:pStyle w:val="Compact"/>
              <w:jc w:val="right"/>
            </w:pPr>
            <w:r>
              <w:t xml:space="preserve">24 262</w:t>
            </w:r>
          </w:p>
        </w:tc>
        <w:tc>
          <w:tcPr/>
          <w:p>
            <w:pPr>
              <w:pStyle w:val="Compact"/>
              <w:jc w:val="right"/>
            </w:pPr>
            <w:r>
              <w:t xml:space="preserve">0,893</w:t>
            </w:r>
          </w:p>
        </w:tc>
        <w:tc>
          <w:tcPr/>
          <w:p>
            <w:pPr>
              <w:pStyle w:val="Compact"/>
              <w:jc w:val="right"/>
            </w:pPr>
            <w:r>
              <w:t xml:space="preserve">0,983</w:t>
            </w:r>
          </w:p>
        </w:tc>
      </w:tr>
      <w:tr>
        <w:tc>
          <w:tcPr/>
          <w:p>
            <w:pPr>
              <w:pStyle w:val="Compact"/>
              <w:jc w:val="left"/>
            </w:pPr>
            <w:r>
              <w:t xml:space="preserve">Arbre de décision (profondeur 6)</w:t>
            </w:r>
          </w:p>
        </w:tc>
        <w:tc>
          <w:tcPr/>
          <w:p>
            <w:pPr>
              <w:pStyle w:val="Compact"/>
              <w:jc w:val="right"/>
            </w:pPr>
            <w:r>
              <w:t xml:space="preserve">26 674</w:t>
            </w:r>
          </w:p>
        </w:tc>
        <w:tc>
          <w:tcPr/>
          <w:p>
            <w:pPr>
              <w:pStyle w:val="Compact"/>
              <w:jc w:val="right"/>
            </w:pPr>
            <w:r>
              <w:t xml:space="preserve">37 514</w:t>
            </w:r>
          </w:p>
        </w:tc>
        <w:tc>
          <w:tcPr/>
          <w:p>
            <w:pPr>
              <w:pStyle w:val="Compact"/>
              <w:jc w:val="right"/>
            </w:pPr>
            <w:r>
              <w:t xml:space="preserve">0,745</w:t>
            </w:r>
          </w:p>
        </w:tc>
        <w:tc>
          <w:tcPr/>
          <w:p>
            <w:pPr>
              <w:pStyle w:val="Compact"/>
              <w:jc w:val="right"/>
            </w:pPr>
            <w:r>
              <w:t xml:space="preserve">0,906</w:t>
            </w:r>
          </w:p>
        </w:tc>
      </w:tr>
      <w:tr>
        <w:tc>
          <w:tcPr/>
          <w:p>
            <w:pPr>
              <w:pStyle w:val="Compact"/>
              <w:jc w:val="left"/>
            </w:pPr>
            <w:r>
              <w:t xml:space="preserve">Réseau de neurones</w:t>
            </w:r>
          </w:p>
        </w:tc>
        <w:tc>
          <w:tcPr/>
          <w:p>
            <w:pPr>
              <w:pStyle w:val="Compact"/>
              <w:jc w:val="right"/>
            </w:pPr>
            <w:r>
              <w:t xml:space="preserve">15 581</w:t>
            </w:r>
          </w:p>
        </w:tc>
        <w:tc>
          <w:tcPr/>
          <w:p>
            <w:pPr>
              <w:pStyle w:val="Compact"/>
              <w:jc w:val="right"/>
            </w:pPr>
            <w:r>
              <w:t xml:space="preserve">22 375</w:t>
            </w:r>
          </w:p>
        </w:tc>
        <w:tc>
          <w:tcPr/>
          <w:p>
            <w:pPr>
              <w:pStyle w:val="Compact"/>
              <w:jc w:val="right"/>
            </w:pPr>
            <w:r>
              <w:t xml:space="preserve">0,909</w:t>
            </w:r>
          </w:p>
        </w:tc>
        <w:tc>
          <w:tcPr/>
          <w:p>
            <w:pPr>
              <w:pStyle w:val="Compact"/>
              <w:jc w:val="right"/>
            </w:pPr>
            <w:r>
              <w:t xml:space="preserve">0,968</w:t>
            </w:r>
          </w:p>
        </w:tc>
      </w:tr>
    </w:tbl>
    <w:p>
      <w:pPr>
        <w:pStyle w:val="BodyText"/>
      </w:pPr>
      <w:r>
        <w:t xml:space="preserve">À titre de repère, un « modèle » qui répondrait toujours la médiane des prix aurait une MAE d’environ 57 000 dollars : les bons modèles font donc environ trois fois mieux. Une MAE d’environ 16 000 dollars représente environ 10 % du prix médian.</w:t>
      </w:r>
    </w:p>
    <w:bookmarkEnd w:id="29"/>
    <w:bookmarkStart w:id="30" w:name="X9ce5f5d7d4e775421c2a2ac793f44e3508a4429"/>
    <w:p>
      <w:pPr>
        <w:pStyle w:val="Heading2"/>
      </w:pPr>
      <w:r>
        <w:t xml:space="preserve">5.3 Choix du frein de Ridge par validation croisée</w:t>
      </w:r>
    </w:p>
    <w:p>
      <w:pPr>
        <w:pStyle w:val="FirstParagraph"/>
      </w:pPr>
      <w:r>
        <w:t xml:space="preserve">La validation croisée coupe l’entraînement en 5 paquets et fait passer 5 mini-examens (chaque paquet sert une fois de test), ce qui permet de choisir</w:t>
      </w:r>
      <w:r>
        <w:t xml:space="preserve"> </w:t>
      </w:r>
      <w:r>
        <w:rPr>
          <w:rStyle w:val="VerbatimChar"/>
        </w:rPr>
        <w:t xml:space="preserve">alpha</w:t>
      </w:r>
      <w:r>
        <w:t xml:space="preserve"> </w:t>
      </w:r>
      <w:r>
        <w:t xml:space="preserve">sans toucher au jeu de test.</w:t>
      </w:r>
    </w:p>
    <w:tbl>
      <w:tblPr>
        <w:tblStyle w:val="Table"/>
        <w:tblW w:type="auto" w:w="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990"/>
        <w:gridCol w:w="990"/>
        <w:gridCol w:w="990"/>
        <w:gridCol w:w="990"/>
        <w:gridCol w:w="990"/>
        <w:gridCol w:w="990"/>
        <w:gridCol w:w="990"/>
        <w:gridCol w:w="990"/>
      </w:tblGrid>
      <w:tr>
        <w:trPr>
          <w:tblHeader w:val="true"/>
        </w:trPr>
        <w:tc>
          <w:tcPr/>
          <w:p>
            <w:pPr>
              <w:pStyle w:val="Compact"/>
              <w:jc w:val="left"/>
            </w:pPr>
            <w:r>
              <w:t xml:space="preserve">alpha</w:t>
            </w:r>
          </w:p>
        </w:tc>
        <w:tc>
          <w:tcPr/>
          <w:p>
            <w:pPr>
              <w:pStyle w:val="Compact"/>
              <w:jc w:val="right"/>
            </w:pPr>
            <w:r>
              <w:t xml:space="preserve">1</w:t>
            </w:r>
          </w:p>
        </w:tc>
        <w:tc>
          <w:tcPr/>
          <w:p>
            <w:pPr>
              <w:pStyle w:val="Compact"/>
              <w:jc w:val="right"/>
            </w:pPr>
            <w:r>
              <w:t xml:space="preserve">3</w:t>
            </w:r>
          </w:p>
        </w:tc>
        <w:tc>
          <w:tcPr/>
          <w:p>
            <w:pPr>
              <w:pStyle w:val="Compact"/>
              <w:jc w:val="right"/>
            </w:pPr>
            <w:r>
              <w:t xml:space="preserve">10</w:t>
            </w:r>
          </w:p>
        </w:tc>
        <w:tc>
          <w:tcPr/>
          <w:p>
            <w:pPr>
              <w:pStyle w:val="Compact"/>
              <w:jc w:val="right"/>
            </w:pPr>
            <w:r>
              <w:t xml:space="preserve">30</w:t>
            </w:r>
          </w:p>
        </w:tc>
        <w:tc>
          <w:tcPr/>
          <w:p>
            <w:pPr>
              <w:pStyle w:val="Compact"/>
              <w:jc w:val="right"/>
            </w:pPr>
            <w:r>
              <w:t xml:space="preserve">100</w:t>
            </w:r>
          </w:p>
        </w:tc>
        <w:tc>
          <w:tcPr/>
          <w:p>
            <w:pPr>
              <w:pStyle w:val="Compact"/>
              <w:jc w:val="right"/>
            </w:pPr>
            <w:r>
              <w:t xml:space="preserve">300</w:t>
            </w:r>
          </w:p>
        </w:tc>
        <w:tc>
          <w:tcPr/>
          <w:p>
            <w:pPr>
              <w:pStyle w:val="Compact"/>
              <w:jc w:val="right"/>
            </w:pPr>
            <w:r>
              <w:t xml:space="preserve">1000</w:t>
            </w:r>
          </w:p>
        </w:tc>
      </w:tr>
      <w:tr>
        <w:tc>
          <w:tcPr/>
          <w:p>
            <w:pPr>
              <w:pStyle w:val="Compact"/>
              <w:jc w:val="left"/>
            </w:pPr>
            <w:r>
              <w:t xml:space="preserve">R² moyen</w:t>
            </w:r>
          </w:p>
        </w:tc>
        <w:tc>
          <w:tcPr/>
          <w:p>
            <w:pPr>
              <w:pStyle w:val="Compact"/>
              <w:jc w:val="right"/>
            </w:pPr>
            <w:r>
              <w:t xml:space="preserve">0,894</w:t>
            </w:r>
          </w:p>
        </w:tc>
        <w:tc>
          <w:tcPr/>
          <w:p>
            <w:pPr>
              <w:pStyle w:val="Compact"/>
              <w:jc w:val="right"/>
            </w:pPr>
            <w:r>
              <w:t xml:space="preserve">0,899</w:t>
            </w:r>
          </w:p>
        </w:tc>
        <w:tc>
          <w:tcPr/>
          <w:p>
            <w:pPr>
              <w:pStyle w:val="Compact"/>
              <w:jc w:val="right"/>
            </w:pPr>
            <w:r>
              <w:rPr>
                <w:bCs/>
                <w:b/>
              </w:rPr>
              <w:t xml:space="preserve">0,902</w:t>
            </w:r>
          </w:p>
        </w:tc>
        <w:tc>
          <w:tcPr/>
          <w:p>
            <w:pPr>
              <w:pStyle w:val="Compact"/>
              <w:jc w:val="right"/>
            </w:pPr>
            <w:r>
              <w:t xml:space="preserve">0,899</w:t>
            </w:r>
          </w:p>
        </w:tc>
        <w:tc>
          <w:tcPr/>
          <w:p>
            <w:pPr>
              <w:pStyle w:val="Compact"/>
              <w:jc w:val="right"/>
            </w:pPr>
            <w:r>
              <w:t xml:space="preserve">0,891</w:t>
            </w:r>
          </w:p>
        </w:tc>
        <w:tc>
          <w:tcPr/>
          <w:p>
            <w:pPr>
              <w:pStyle w:val="Compact"/>
              <w:jc w:val="right"/>
            </w:pPr>
            <w:r>
              <w:t xml:space="preserve">0,876</w:t>
            </w:r>
          </w:p>
        </w:tc>
        <w:tc>
          <w:tcPr/>
          <w:p>
            <w:pPr>
              <w:pStyle w:val="Compact"/>
              <w:jc w:val="right"/>
            </w:pPr>
            <w:r>
              <w:t xml:space="preserve">0,849</w:t>
            </w:r>
          </w:p>
        </w:tc>
      </w:tr>
    </w:tbl>
    <w:p>
      <w:pPr>
        <w:pStyle w:val="BodyText"/>
      </w:pPr>
      <w:r>
        <w:t xml:space="preserve">Un frein trop faible laisse le modèle apprendre par cœur (sur-apprentissage) ; un frein trop fort le rend trop simple (sous-apprentissage).</w:t>
      </w:r>
      <w:r>
        <w:t xml:space="preserve"> </w:t>
      </w:r>
      <w:r>
        <w:rPr>
          <w:rStyle w:val="VerbatimChar"/>
        </w:rPr>
        <w:t xml:space="preserve">alpha = 10</w:t>
      </w:r>
      <w:r>
        <w:t xml:space="preserve"> </w:t>
      </w:r>
      <w:r>
        <w:t xml:space="preserve">est le meilleur équilibre.</w:t>
      </w:r>
    </w:p>
    <w:bookmarkEnd w:id="30"/>
    <w:bookmarkEnd w:id="31"/>
    <w:bookmarkStart w:id="35" w:name="analyse-des-résultats"/>
    <w:p>
      <w:pPr>
        <w:pStyle w:val="Heading1"/>
      </w:pPr>
      <w:r>
        <w:t xml:space="preserve">6. Analyse des résultats</w:t>
      </w:r>
    </w:p>
    <w:bookmarkStart w:id="32" w:name="sur-apprentissage"/>
    <w:p>
      <w:pPr>
        <w:pStyle w:val="Heading2"/>
      </w:pPr>
      <w:r>
        <w:t xml:space="preserve">6.1 Sur-apprentissage</w:t>
      </w:r>
    </w:p>
    <w:p>
      <w:pPr>
        <w:pStyle w:val="FirstParagraph"/>
      </w:pPr>
      <w:r>
        <w:t xml:space="preserve">L’écart entre le R² d’entraînement et le R² de test mesure l’apprentissage par cœur : Ridge 0,034 ; réseau de neurones 0,059 ; régression linéaire 0,064 ; forêt aléatoire 0,090 ; arbre de décision 0,161. Ridge est le modèle qui généralise le plus proprement. La forêt (0,983 à l’entraînement, 0,893 au test) a en partie appris les maisons par cœur : un modèle plus complexe n’est pas automatiquement meilleur.</w:t>
      </w:r>
    </w:p>
    <w:bookmarkEnd w:id="32"/>
    <w:bookmarkStart w:id="33" w:name="Xe532e0493cba64b11e207cde0c20d1556fa2bd6"/>
    <w:p>
      <w:pPr>
        <w:pStyle w:val="Heading2"/>
      </w:pPr>
      <w:r>
        <w:t xml:space="preserve">6.2 Variables les plus importantes (forêt aléatoire)</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1817"/>
        <w:gridCol w:w="5193"/>
        <w:gridCol w:w="908"/>
      </w:tblGrid>
      <w:tr>
        <w:trPr>
          <w:tblHeader w:val="true"/>
        </w:trPr>
        <w:tc>
          <w:tcPr/>
          <w:p>
            <w:pPr>
              <w:pStyle w:val="Compact"/>
              <w:jc w:val="left"/>
            </w:pPr>
            <w:r>
              <w:t xml:space="preserve">Variable</w:t>
            </w:r>
          </w:p>
        </w:tc>
        <w:tc>
          <w:tcPr/>
          <w:p>
            <w:pPr>
              <w:pStyle w:val="Compact"/>
              <w:jc w:val="left"/>
            </w:pPr>
            <w:r>
              <w:t xml:space="preserve">Signification</w:t>
            </w:r>
          </w:p>
        </w:tc>
        <w:tc>
          <w:tcPr/>
          <w:p>
            <w:pPr>
              <w:pStyle w:val="Compact"/>
              <w:jc w:val="right"/>
            </w:pPr>
            <w:r>
              <w:t xml:space="preserve">Importance</w:t>
            </w:r>
          </w:p>
        </w:tc>
      </w:tr>
      <w:tr>
        <w:tc>
          <w:tcPr/>
          <w:p>
            <w:pPr>
              <w:pStyle w:val="Compact"/>
              <w:jc w:val="left"/>
            </w:pPr>
            <w:r>
              <w:rPr>
                <w:rStyle w:val="VerbatimChar"/>
              </w:rPr>
              <w:t xml:space="preserve">OverallQual</w:t>
            </w:r>
          </w:p>
        </w:tc>
        <w:tc>
          <w:tcPr/>
          <w:p>
            <w:pPr>
              <w:pStyle w:val="Compact"/>
              <w:jc w:val="left"/>
            </w:pPr>
            <w:r>
              <w:t xml:space="preserve">qualité des matériaux et de la finition (1 à 10)</w:t>
            </w:r>
          </w:p>
        </w:tc>
        <w:tc>
          <w:tcPr/>
          <w:p>
            <w:pPr>
              <w:pStyle w:val="Compact"/>
              <w:jc w:val="right"/>
            </w:pPr>
            <w:r>
              <w:t xml:space="preserve">55,9 %</w:t>
            </w:r>
          </w:p>
        </w:tc>
      </w:tr>
      <w:tr>
        <w:tc>
          <w:tcPr/>
          <w:p>
            <w:pPr>
              <w:pStyle w:val="Compact"/>
              <w:jc w:val="left"/>
            </w:pPr>
            <w:r>
              <w:rPr>
                <w:rStyle w:val="VerbatimChar"/>
              </w:rPr>
              <w:t xml:space="preserve">GrLivArea</w:t>
            </w:r>
          </w:p>
        </w:tc>
        <w:tc>
          <w:tcPr/>
          <w:p>
            <w:pPr>
              <w:pStyle w:val="Compact"/>
              <w:jc w:val="left"/>
            </w:pPr>
            <w:r>
              <w:t xml:space="preserve">surface habitable</w:t>
            </w:r>
          </w:p>
        </w:tc>
        <w:tc>
          <w:tcPr/>
          <w:p>
            <w:pPr>
              <w:pStyle w:val="Compact"/>
              <w:jc w:val="right"/>
            </w:pPr>
            <w:r>
              <w:t xml:space="preserve">12,1 %</w:t>
            </w:r>
          </w:p>
        </w:tc>
      </w:tr>
      <w:tr>
        <w:tc>
          <w:tcPr/>
          <w:p>
            <w:pPr>
              <w:pStyle w:val="Compact"/>
              <w:jc w:val="left"/>
            </w:pPr>
            <w:r>
              <w:rPr>
                <w:rStyle w:val="VerbatimChar"/>
              </w:rPr>
              <w:t xml:space="preserve">TotalBsmtSF</w:t>
            </w:r>
          </w:p>
        </w:tc>
        <w:tc>
          <w:tcPr/>
          <w:p>
            <w:pPr>
              <w:pStyle w:val="Compact"/>
              <w:jc w:val="left"/>
            </w:pPr>
            <w:r>
              <w:t xml:space="preserve">surface du sous-sol</w:t>
            </w:r>
          </w:p>
        </w:tc>
        <w:tc>
          <w:tcPr/>
          <w:p>
            <w:pPr>
              <w:pStyle w:val="Compact"/>
              <w:jc w:val="right"/>
            </w:pPr>
            <w:r>
              <w:t xml:space="preserve">6,1 %</w:t>
            </w:r>
          </w:p>
        </w:tc>
      </w:tr>
    </w:tbl>
    <w:p>
      <w:pPr>
        <w:pStyle w:val="BodyText"/>
      </w:pPr>
      <w:r>
        <w:t xml:space="preserve">À eux trois, ils pèsent environ 74 % des décisions de la forêt : le prix dépend d’abord de la qualité, puis de la surface.</w:t>
      </w:r>
    </w:p>
    <w:bookmarkEnd w:id="33"/>
    <w:bookmarkStart w:id="34" w:name="où-le-modèle-se-trompe-le-plus-ridge"/>
    <w:p>
      <w:pPr>
        <w:pStyle w:val="Heading2"/>
      </w:pPr>
      <w:r>
        <w:t xml:space="preserve">6.3 Où le modèle se trompe le plus (Ridge)</w:t>
      </w:r>
    </w:p>
    <w:tbl>
      <w:tblPr>
        <w:tblStyle w:val="Table"/>
        <w:tblW w:type="auto" w:w="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2640"/>
        <w:gridCol w:w="2640"/>
        <w:gridCol w:w="2640"/>
      </w:tblGrid>
      <w:tr>
        <w:trPr>
          <w:tblHeader w:val="true"/>
        </w:trPr>
        <w:tc>
          <w:tcPr/>
          <w:p>
            <w:pPr>
              <w:pStyle w:val="Compact"/>
              <w:jc w:val="right"/>
            </w:pPr>
            <w:r>
              <w:t xml:space="preserve">Prix réel</w:t>
            </w:r>
          </w:p>
        </w:tc>
        <w:tc>
          <w:tcPr/>
          <w:p>
            <w:pPr>
              <w:pStyle w:val="Compact"/>
              <w:jc w:val="right"/>
            </w:pPr>
            <w:r>
              <w:t xml:space="preserve">Prix estimé</w:t>
            </w:r>
          </w:p>
        </w:tc>
        <w:tc>
          <w:tcPr/>
          <w:p>
            <w:pPr>
              <w:pStyle w:val="Compact"/>
              <w:jc w:val="right"/>
            </w:pPr>
            <w:r>
              <w:t xml:space="preserve">Écart</w:t>
            </w:r>
          </w:p>
        </w:tc>
      </w:tr>
      <w:tr>
        <w:tc>
          <w:tcPr/>
          <w:p>
            <w:pPr>
              <w:pStyle w:val="Compact"/>
              <w:jc w:val="right"/>
            </w:pPr>
            <w:r>
              <w:t xml:space="preserve">200 500</w:t>
            </w:r>
          </w:p>
        </w:tc>
        <w:tc>
          <w:tcPr/>
          <w:p>
            <w:pPr>
              <w:pStyle w:val="Compact"/>
              <w:jc w:val="right"/>
            </w:pPr>
            <w:r>
              <w:t xml:space="preserve">290 110</w:t>
            </w:r>
          </w:p>
        </w:tc>
        <w:tc>
          <w:tcPr/>
          <w:p>
            <w:pPr>
              <w:pStyle w:val="Compact"/>
              <w:jc w:val="right"/>
            </w:pPr>
            <w:r>
              <w:t xml:space="preserve">+89 610</w:t>
            </w:r>
          </w:p>
        </w:tc>
      </w:tr>
      <w:tr>
        <w:tc>
          <w:tcPr/>
          <w:p>
            <w:pPr>
              <w:pStyle w:val="Compact"/>
              <w:jc w:val="right"/>
            </w:pPr>
            <w:r>
              <w:t xml:space="preserve">244 000</w:t>
            </w:r>
          </w:p>
        </w:tc>
        <w:tc>
          <w:tcPr/>
          <w:p>
            <w:pPr>
              <w:pStyle w:val="Compact"/>
              <w:jc w:val="right"/>
            </w:pPr>
            <w:r>
              <w:t xml:space="preserve">333 139</w:t>
            </w:r>
          </w:p>
        </w:tc>
        <w:tc>
          <w:tcPr/>
          <w:p>
            <w:pPr>
              <w:pStyle w:val="Compact"/>
              <w:jc w:val="right"/>
            </w:pPr>
            <w:r>
              <w:t xml:space="preserve">+89 139</w:t>
            </w:r>
          </w:p>
        </w:tc>
      </w:tr>
      <w:tr>
        <w:tc>
          <w:tcPr/>
          <w:p>
            <w:pPr>
              <w:pStyle w:val="Compact"/>
              <w:jc w:val="right"/>
            </w:pPr>
            <w:r>
              <w:t xml:space="preserve">276 000</w:t>
            </w:r>
          </w:p>
        </w:tc>
        <w:tc>
          <w:tcPr/>
          <w:p>
            <w:pPr>
              <w:pStyle w:val="Compact"/>
              <w:jc w:val="right"/>
            </w:pPr>
            <w:r>
              <w:t xml:space="preserve">358 954</w:t>
            </w:r>
          </w:p>
        </w:tc>
        <w:tc>
          <w:tcPr/>
          <w:p>
            <w:pPr>
              <w:pStyle w:val="Compact"/>
              <w:jc w:val="right"/>
            </w:pPr>
            <w:r>
              <w:t xml:space="preserve">+82 954</w:t>
            </w:r>
          </w:p>
        </w:tc>
      </w:tr>
      <w:tr>
        <w:tc>
          <w:tcPr/>
          <w:p>
            <w:pPr>
              <w:pStyle w:val="Compact"/>
              <w:jc w:val="right"/>
            </w:pPr>
            <w:r>
              <w:t xml:space="preserve">311 500</w:t>
            </w:r>
          </w:p>
        </w:tc>
        <w:tc>
          <w:tcPr/>
          <w:p>
            <w:pPr>
              <w:pStyle w:val="Compact"/>
              <w:jc w:val="right"/>
            </w:pPr>
            <w:r>
              <w:t xml:space="preserve">228 604</w:t>
            </w:r>
          </w:p>
        </w:tc>
        <w:tc>
          <w:tcPr/>
          <w:p>
            <w:pPr>
              <w:pStyle w:val="Compact"/>
              <w:jc w:val="right"/>
            </w:pPr>
            <w:r>
              <w:t xml:space="preserve">−82 896</w:t>
            </w:r>
          </w:p>
        </w:tc>
      </w:tr>
      <w:tr>
        <w:tc>
          <w:tcPr/>
          <w:p>
            <w:pPr>
              <w:pStyle w:val="Compact"/>
              <w:jc w:val="right"/>
            </w:pPr>
            <w:r>
              <w:t xml:space="preserve">200 624</w:t>
            </w:r>
          </w:p>
        </w:tc>
        <w:tc>
          <w:tcPr/>
          <w:p>
            <w:pPr>
              <w:pStyle w:val="Compact"/>
              <w:jc w:val="right"/>
            </w:pPr>
            <w:r>
              <w:t xml:space="preserve">267 050</w:t>
            </w:r>
          </w:p>
        </w:tc>
        <w:tc>
          <w:tcPr/>
          <w:p>
            <w:pPr>
              <w:pStyle w:val="Compact"/>
              <w:jc w:val="right"/>
            </w:pPr>
            <w:r>
              <w:t xml:space="preserve">+66 426</w:t>
            </w:r>
          </w:p>
        </w:tc>
      </w:tr>
    </w:tbl>
    <w:p>
      <w:pPr>
        <w:pStyle w:val="BodyText"/>
      </w:pPr>
      <w:r>
        <w:t xml:space="preserve">Ces erreurs sont rares : l’erreur typique (médiane) est d’environ 12 400 dollars, et environ 9 % des maisons de test dépassent 40 000 dollars d’erreur. Parmi ces cinq maisons figurent deux ventes atypiques (</w:t>
      </w:r>
      <w:r>
        <w:rPr>
          <w:rStyle w:val="VerbatimChar"/>
        </w:rPr>
        <w:t xml:space="preserve">Partial</w:t>
      </w:r>
      <w:r>
        <w:t xml:space="preserve"> </w:t>
      </w:r>
      <w:r>
        <w:t xml:space="preserve">: vendue avant la fin de la construction ;</w:t>
      </w:r>
      <w:r>
        <w:t xml:space="preserve"> </w:t>
      </w:r>
      <w:r>
        <w:rPr>
          <w:rStyle w:val="VerbatimChar"/>
        </w:rPr>
        <w:t xml:space="preserve">Alloca</w:t>
      </w:r>
      <w:r>
        <w:t xml:space="preserve"> </w:t>
      </w:r>
      <w:r>
        <w:t xml:space="preserve">: deux biens vendus ensemble), deux états extrêmes (9 sur 10 et 3 sur 10) et une grande maison de qualité moyenne. Ce sont des hypothèses et non des preuves : cinq maisons ne suffisent pas pour conclure.</w:t>
      </w:r>
    </w:p>
    <w:bookmarkEnd w:id="34"/>
    <w:bookmarkEnd w:id="35"/>
    <w:bookmarkStart w:id="36" w:name="limites-de-ce-travail"/>
    <w:p>
      <w:pPr>
        <w:pStyle w:val="Heading1"/>
      </w:pPr>
      <w:r>
        <w:t xml:space="preserve">7. Limites de ce travail</w:t>
      </w:r>
    </w:p>
    <w:p>
      <w:pPr>
        <w:numPr>
          <w:ilvl w:val="0"/>
          <w:numId w:val="1004"/>
        </w:numPr>
        <w:pStyle w:val="Compact"/>
      </w:pPr>
      <w:r>
        <w:rPr>
          <w:bCs/>
          <w:b/>
        </w:rPr>
        <w:t xml:space="preserve">Réglages de Lasso, de l’arbre et du réseau</w:t>
      </w:r>
      <w:r>
        <w:t xml:space="preserve"> </w:t>
      </w:r>
      <w:r>
        <w:t xml:space="preserve">: leurs paramètres (alpha = 100, profondeur 6, taille des couches) ont été fixés après quelques essais examinés sur le jeu de test, sans validation croisée complète. Leurs scores sont donc légèrement optimistes. Seul le réglage de Ridge a été validé sans toucher au test.</w:t>
      </w:r>
    </w:p>
    <w:p>
      <w:pPr>
        <w:numPr>
          <w:ilvl w:val="0"/>
          <w:numId w:val="1004"/>
        </w:numPr>
        <w:pStyle w:val="Compact"/>
      </w:pPr>
      <w:r>
        <w:rPr>
          <w:bCs/>
          <w:b/>
        </w:rPr>
        <w:t xml:space="preserve">Une seule coupe entraînement / test</w:t>
      </w:r>
      <w:r>
        <w:t xml:space="preserve"> </w:t>
      </w:r>
      <w:r>
        <w:t xml:space="preserve">: avec 292 maisons de test, des écarts de quelques millièmes de R² (0,902 ; 0,905 ; 0,909) sont trop petits pour affirmer qu’un modèle est réellement meilleur qu’un autre.</w:t>
      </w:r>
    </w:p>
    <w:p>
      <w:pPr>
        <w:numPr>
          <w:ilvl w:val="0"/>
          <w:numId w:val="1004"/>
        </w:numPr>
        <w:pStyle w:val="Compact"/>
      </w:pPr>
      <w:r>
        <w:rPr>
          <w:bCs/>
          <w:b/>
        </w:rPr>
        <w:t xml:space="preserve">Régression linéaire instable</w:t>
      </w:r>
      <w:r>
        <w:t xml:space="preserve"> </w:t>
      </w:r>
      <w:r>
        <w:t xml:space="preserve">: avec 301 colonnes très liées entre elles, ses résultats peuvent varier d’un ordinateur à l’autre. Ridge corrige ce défaut.</w:t>
      </w:r>
    </w:p>
    <w:p>
      <w:pPr>
        <w:pStyle w:val="FirstParagraph"/>
      </w:pPr>
      <w:r>
        <w:rPr>
          <w:bCs/>
          <w:b/>
        </w:rPr>
        <w:t xml:space="preserve">Modèle retenu : Ridge (alpha = 10)</w:t>
      </w:r>
      <w:r>
        <w:t xml:space="preserve">, car c’est celui dont le réglage a été validé proprement, avec l’écart entraînement / test le plus faible. Lasso et le réseau de neurones donnent des scores comparables ; Lasso a l’avantage d’éliminer 174 colonnes sur 301, ce qui donne un modèle plus simple et plus lisible.</w:t>
      </w:r>
    </w:p>
    <w:bookmarkEnd w:id="36"/>
    <w:bookmarkStart w:id="40" w:name="défis-et-adaptation-à-ziguinchor"/>
    <w:p>
      <w:pPr>
        <w:pStyle w:val="Heading1"/>
      </w:pPr>
      <w:r>
        <w:t xml:space="preserve">8. Défis et adaptation à Ziguinchor</w:t>
      </w:r>
    </w:p>
    <w:bookmarkStart w:id="37" w:name="hétérogénéité-des-données"/>
    <w:p>
      <w:pPr>
        <w:pStyle w:val="Heading2"/>
      </w:pPr>
      <w:r>
        <w:t xml:space="preserve">8.1 Hétérogénéité des données</w:t>
      </w:r>
    </w:p>
    <w:p>
      <w:pPr>
        <w:pStyle w:val="FirstParagraph"/>
      </w:pPr>
      <w:r>
        <w:t xml:space="preserve">Les données d’Ames sont américaines : prix en dollars, surfaces en pieds carrés, quartiers américains, critères d’un marché très différent. Un modèle ne connaît que ce qu’il a vu pendant l’entraînement : appliqué à Ziguinchor, il se tromperait lourdement. Il faudrait des</w:t>
      </w:r>
      <w:r>
        <w:t xml:space="preserve"> </w:t>
      </w:r>
      <w:r>
        <w:rPr>
          <w:bCs/>
          <w:b/>
        </w:rPr>
        <w:t xml:space="preserve">données locales</w:t>
      </w:r>
      <w:r>
        <w:t xml:space="preserve"> </w:t>
      </w:r>
      <w:r>
        <w:t xml:space="preserve">: quartier, surface en m², nombre de pièces, accès à l’eau et à l’électricité, état du bâtiment, distance au centre, prix en FCFA. Elles pourraient provenir des annonces de la plateforme Ziguinchor Immo. Comme cette plateforme porte sur la</w:t>
      </w:r>
      <w:r>
        <w:t xml:space="preserve"> </w:t>
      </w:r>
      <w:r>
        <w:rPr>
          <w:bCs/>
          <w:b/>
        </w:rPr>
        <w:t xml:space="preserve">location</w:t>
      </w:r>
      <w:r>
        <w:t xml:space="preserve">, la cible deviendrait le</w:t>
      </w:r>
      <w:r>
        <w:t xml:space="preserve"> </w:t>
      </w:r>
      <w:r>
        <w:rPr>
          <w:bCs/>
          <w:b/>
        </w:rPr>
        <w:t xml:space="preserve">loyer mensuel</w:t>
      </w:r>
      <w:r>
        <w:t xml:space="preserve"> </w:t>
      </w:r>
      <w:r>
        <w:t xml:space="preserve">et non un prix de vente. Il faudrait plusieurs centaines d’annonces fiables pour réentraîner un modèle sérieux.</w:t>
      </w:r>
    </w:p>
    <w:bookmarkEnd w:id="37"/>
    <w:bookmarkStart w:id="38" w:name="non-stationnarité-du-marché"/>
    <w:p>
      <w:pPr>
        <w:pStyle w:val="Heading2"/>
      </w:pPr>
      <w:r>
        <w:t xml:space="preserve">8.2 Non-stationnarité du marché</w:t>
      </w:r>
    </w:p>
    <w:p>
      <w:pPr>
        <w:pStyle w:val="FirstParagraph"/>
      </w:pPr>
      <w:r>
        <w:t xml:space="preserve">Les prix évoluent avec le temps (inflation, nouvelles constructions, événements économiques). Les ventes du jeu de données datent d’une période courte (2006 à 2010) : un modèle entraîné sur une époque vieillit. Il faut le</w:t>
      </w:r>
      <w:r>
        <w:t xml:space="preserve"> </w:t>
      </w:r>
      <w:r>
        <w:rPr>
          <w:bCs/>
          <w:b/>
        </w:rPr>
        <w:t xml:space="preserve">réentraîner régulièrement</w:t>
      </w:r>
      <w:r>
        <w:t xml:space="preserve"> </w:t>
      </w:r>
      <w:r>
        <w:t xml:space="preserve">avec des données récentes et surveiller la dérive de ses erreurs.</w:t>
      </w:r>
    </w:p>
    <w:bookmarkEnd w:id="38"/>
    <w:bookmarkStart w:id="39" w:name="multicolinéarité"/>
    <w:p>
      <w:pPr>
        <w:pStyle w:val="Heading2"/>
      </w:pPr>
      <w:r>
        <w:t xml:space="preserve">8.3 Multicolinéarité</w:t>
      </w:r>
    </w:p>
    <w:p>
      <w:pPr>
        <w:pStyle w:val="FirstParagraph"/>
      </w:pPr>
      <w:r>
        <w:t xml:space="preserve">Certaines colonnes sont fortement liées entre elles (par exemple la surface du premier étage et celle du sous-sol, ou le nombre de places de garage et la surface du garage). Dans un modèle linéaire, cela rend les poids instables et difficiles à interpréter. Ridge et Lasso répondent à ce problème : le frein stabilise les poids, et Lasso élimine les colonnes redondantes.</w:t>
      </w:r>
    </w:p>
    <w:bookmarkEnd w:id="39"/>
    <w:bookmarkEnd w:id="40"/>
    <w:bookmarkStart w:id="41" w:name="gestion-de-projet-avec-git"/>
    <w:p>
      <w:pPr>
        <w:pStyle w:val="Heading1"/>
      </w:pPr>
      <w:r>
        <w:t xml:space="preserve">9. Gestion de projet avec Git</w:t>
      </w:r>
    </w:p>
    <w:p>
      <w:pPr>
        <w:pStyle w:val="FirstParagraph"/>
      </w:pPr>
      <w:r>
        <w:t xml:space="preserve">Le projet est suivi avec Git et publié sur GitHub : https://github.com/kaoumar689-droid/projet-prix-immobilier</w:t>
      </w:r>
    </w:p>
    <w:p>
      <w:pPr>
        <w:numPr>
          <w:ilvl w:val="0"/>
          <w:numId w:val="1005"/>
        </w:numPr>
        <w:pStyle w:val="Compact"/>
      </w:pPr>
      <w:r>
        <w:rPr>
          <w:bCs/>
          <w:b/>
        </w:rPr>
        <w:t xml:space="preserve">Contenu du dépôt</w:t>
      </w:r>
      <w:r>
        <w:t xml:space="preserve"> </w:t>
      </w:r>
      <w:r>
        <w:t xml:space="preserve">: le notebook</w:t>
      </w:r>
      <w:r>
        <w:t xml:space="preserve"> </w:t>
      </w:r>
      <w:r>
        <w:rPr>
          <w:rStyle w:val="VerbatimChar"/>
        </w:rPr>
        <w:t xml:space="preserve">projet-immo.ipynb</w:t>
      </w:r>
      <w:r>
        <w:t xml:space="preserve">,</w:t>
      </w:r>
      <w:r>
        <w:t xml:space="preserve"> </w:t>
      </w:r>
      <w:r>
        <w:rPr>
          <w:rStyle w:val="VerbatimChar"/>
        </w:rPr>
        <w:t xml:space="preserve">data_description.txt</w:t>
      </w:r>
      <w:r>
        <w:t xml:space="preserve">,</w:t>
      </w:r>
      <w:r>
        <w:t xml:space="preserve"> </w:t>
      </w:r>
      <w:r>
        <w:rPr>
          <w:rStyle w:val="VerbatimChar"/>
        </w:rPr>
        <w:t xml:space="preserve">README.md</w:t>
      </w:r>
      <w:r>
        <w:t xml:space="preserve"> </w:t>
      </w:r>
      <w:r>
        <w:t xml:space="preserve">et le dossier</w:t>
      </w:r>
      <w:r>
        <w:t xml:space="preserve"> </w:t>
      </w:r>
      <w:r>
        <w:rPr>
          <w:rStyle w:val="VerbatimChar"/>
        </w:rPr>
        <w:t xml:space="preserve">livrables/</w:t>
      </w:r>
      <w:r>
        <w:t xml:space="preserve"> </w:t>
      </w:r>
      <w:r>
        <w:t xml:space="preserve">(rapport Word et présentation PowerPoint). Les données Kaggle sont exclues par un fichier</w:t>
      </w:r>
      <w:r>
        <w:t xml:space="preserve"> </w:t>
      </w:r>
      <w:r>
        <w:rPr>
          <w:rStyle w:val="VerbatimChar"/>
        </w:rPr>
        <w:t xml:space="preserve">.gitignore</w:t>
      </w:r>
      <w:r>
        <w:t xml:space="preserve"> </w:t>
      </w:r>
      <w:r>
        <w:t xml:space="preserve">; le README indique où les télécharger.</w:t>
      </w:r>
    </w:p>
    <w:p>
      <w:pPr>
        <w:numPr>
          <w:ilvl w:val="0"/>
          <w:numId w:val="1005"/>
        </w:numPr>
        <w:pStyle w:val="Compact"/>
      </w:pPr>
      <w:r>
        <w:rPr>
          <w:bCs/>
          <w:b/>
        </w:rPr>
        <w:t xml:space="preserve">Branches</w:t>
      </w:r>
      <w:r>
        <w:t xml:space="preserve"> </w:t>
      </w:r>
      <w:r>
        <w:t xml:space="preserve">:</w:t>
      </w:r>
      <w:r>
        <w:t xml:space="preserve"> </w:t>
      </w:r>
      <w:r>
        <w:rPr>
          <w:rStyle w:val="VerbatimChar"/>
        </w:rPr>
        <w:t xml:space="preserve">main</w:t>
      </w:r>
      <w:r>
        <w:t xml:space="preserve"> </w:t>
      </w:r>
      <w:r>
        <w:t xml:space="preserve">(version stable),</w:t>
      </w:r>
      <w:r>
        <w:t xml:space="preserve"> </w:t>
      </w:r>
      <w:r>
        <w:rPr>
          <w:rStyle w:val="VerbatimChar"/>
        </w:rPr>
        <w:t xml:space="preserve">feature/readme</w:t>
      </w:r>
      <w:r>
        <w:t xml:space="preserve"> </w:t>
      </w:r>
      <w:r>
        <w:t xml:space="preserve">(ajout du README) et</w:t>
      </w:r>
      <w:r>
        <w:t xml:space="preserve"> </w:t>
      </w:r>
      <w:r>
        <w:rPr>
          <w:rStyle w:val="VerbatimChar"/>
        </w:rPr>
        <w:t xml:space="preserve">feature/livrables</w:t>
      </w:r>
      <w:r>
        <w:t xml:space="preserve"> </w:t>
      </w:r>
      <w:r>
        <w:t xml:space="preserve">(ajout du rapport et de la présentation), chacune créée pour une fonctionnalité précise.</w:t>
      </w:r>
    </w:p>
    <w:p>
      <w:pPr>
        <w:numPr>
          <w:ilvl w:val="0"/>
          <w:numId w:val="1005"/>
        </w:numPr>
        <w:pStyle w:val="Compact"/>
      </w:pPr>
      <w:r>
        <w:rPr>
          <w:bCs/>
          <w:b/>
        </w:rPr>
        <w:t xml:space="preserve">Fusions</w:t>
      </w:r>
      <w:r>
        <w:t xml:space="preserve"> </w:t>
      </w:r>
      <w:r>
        <w:t xml:space="preserve">: chaque branche est intégrée dans</w:t>
      </w:r>
      <w:r>
        <w:t xml:space="preserve"> </w:t>
      </w:r>
      <w:r>
        <w:rPr>
          <w:rStyle w:val="VerbatimChar"/>
        </w:rPr>
        <w:t xml:space="preserve">main</w:t>
      </w:r>
      <w:r>
        <w:t xml:space="preserve"> </w:t>
      </w:r>
      <w:r>
        <w:t xml:space="preserve">par une pull request (n° 1 pour le README, n° 2 pour les livrables).</w:t>
      </w:r>
    </w:p>
    <w:p>
      <w:pPr>
        <w:numPr>
          <w:ilvl w:val="0"/>
          <w:numId w:val="1005"/>
        </w:numPr>
        <w:pStyle w:val="Compact"/>
      </w:pPr>
      <w:r>
        <w:rPr>
          <w:bCs/>
          <w:b/>
        </w:rPr>
        <w:t xml:space="preserve">Commits</w:t>
      </w:r>
      <w:r>
        <w:t xml:space="preserve"> </w:t>
      </w:r>
      <w:r>
        <w:t xml:space="preserve">: un commit par étape, avec un message descriptif en français.</w:t>
      </w:r>
    </w:p>
    <w:p>
      <w:pPr>
        <w:numPr>
          <w:ilvl w:val="0"/>
          <w:numId w:val="1005"/>
        </w:numPr>
        <w:pStyle w:val="Compact"/>
      </w:pPr>
      <w:r>
        <w:rPr>
          <w:bCs/>
          <w:b/>
        </w:rPr>
        <w:t xml:space="preserve">Version</w:t>
      </w:r>
      <w:r>
        <w:t xml:space="preserve"> </w:t>
      </w:r>
      <w:r>
        <w:t xml:space="preserve">: la version finale est étiquetée</w:t>
      </w:r>
      <w:r>
        <w:t xml:space="preserve"> </w:t>
      </w:r>
      <w:r>
        <w:rPr>
          <w:rStyle w:val="VerbatimChar"/>
        </w:rPr>
        <w:t xml:space="preserve">v1.0</w:t>
      </w:r>
      <w:r>
        <w:t xml:space="preserve">.</w:t>
      </w:r>
    </w:p>
    <w:p>
      <w:pPr>
        <w:numPr>
          <w:ilvl w:val="0"/>
          <w:numId w:val="1005"/>
        </w:numPr>
        <w:pStyle w:val="Compact"/>
      </w:pPr>
      <w:r>
        <w:rPr>
          <w:bCs/>
          <w:b/>
        </w:rPr>
        <w:t xml:space="preserve">Limite</w:t>
      </w:r>
      <w:r>
        <w:t xml:space="preserve"> </w:t>
      </w:r>
      <w:r>
        <w:t xml:space="preserve">: le nettoyage et la modélisation ont été réalisés dans le notebook avant la création du dépôt. L’historique Git montre donc les étapes de publication (notebook, README, livrables) et non chaque étape d’analyse. Les pull requests ont été fusionnées par l’auteur, sans relecture par un tiers.</w:t>
      </w:r>
    </w:p>
    <w:bookmarkEnd w:id="41"/>
    <w:bookmarkStart w:id="42" w:name="conclusion"/>
    <w:p>
      <w:pPr>
        <w:pStyle w:val="Heading1"/>
      </w:pPr>
      <w:r>
        <w:t xml:space="preserve">10. Conclusion</w:t>
      </w:r>
    </w:p>
    <w:p>
      <w:pPr>
        <w:pStyle w:val="FirstParagraph"/>
      </w:pPr>
      <w:r>
        <w:t xml:space="preserve">Ce projet a construit un modèle d’estimation des prix de maisons à partir de 79 caractéristiques. Un nettoyage réfléchi (distinguer absence et donnée perdue, retirer deux valeurs aberrantes), un encodage correct, une séparation honnête entre entraînement et test et un frein de régularisation bien réglé permettent d’atteindre un R² d’environ</w:t>
      </w:r>
      <w:r>
        <w:t xml:space="preserve"> </w:t>
      </w:r>
      <w:r>
        <w:rPr>
          <w:bCs/>
          <w:b/>
        </w:rPr>
        <w:t xml:space="preserve">0,90</w:t>
      </w:r>
      <w:r>
        <w:t xml:space="preserve"> </w:t>
      </w:r>
      <w:r>
        <w:t xml:space="preserve">sur des maisons jamais vues, avec une erreur typique d’environ</w:t>
      </w:r>
      <w:r>
        <w:t xml:space="preserve"> </w:t>
      </w:r>
      <w:r>
        <w:rPr>
          <w:bCs/>
          <w:b/>
        </w:rPr>
        <w:t xml:space="preserve">10 %</w:t>
      </w:r>
      <w:r>
        <w:t xml:space="preserve"> </w:t>
      </w:r>
      <w:r>
        <w:t xml:space="preserve">du prix.</w:t>
      </w:r>
    </w:p>
    <w:p>
      <w:pPr>
        <w:pStyle w:val="BodyText"/>
      </w:pPr>
      <w:r>
        <w:t xml:space="preserve">Trois enseignements principaux : (1) la qualité des données compte plus que la sophistication du modèle ; (2) le modèle simple et freiné (Ridge) fait aussi bien que des modèles plus complexes, avec moins de sur-apprentissage ; (3) un modèle ne vaut que pour le marché sur lequel il a été entraîné, d’où la nécessité de données locales pour toute application à Ziguinchor.</w:t>
      </w:r>
    </w:p>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fr-F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Prédiction des prix de l’immobilier</dc:title>
  <dc:creator>Oumar KA</dc:creator>
  <dc:language>fr-FR</dc:language>
  <cp:keywords/>
  <dcterms:created xsi:type="dcterms:W3CDTF">2026-10-11T22:34:37Z</dcterms:created>
  <dcterms:modified xsi:type="dcterms:W3CDTF">2026-10-11T22:34:37Z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Enseignant : Dr Yoro DIA</vt:lpwstr>
  </property>
  <property fmtid="{D5CDD505-2E9C-101B-9397-08002B2CF9AE}" pid="3" name="subtitle">
    <vt:lpwstr>Projet Machine Learning, Sujet 5</vt:lpwstr>
  </property>
</Properties>
</file>