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AFE5F" w14:textId="77777777" w:rsidR="00F8697C" w:rsidRPr="0052468D" w:rsidRDefault="00162D20">
      <w:pPr>
        <w:spacing w:before="800"/>
        <w:jc w:val="center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4D1C21"/>
          <w:sz w:val="36"/>
          <w:lang w:val="pt-PT"/>
        </w:rPr>
        <w:t>GUIA EXECUTIVO DE ATIVAÇÃO DE PAGAMENTOS ONLINE (OAGB)</w:t>
      </w:r>
    </w:p>
    <w:p w14:paraId="04BD64F9" w14:textId="77777777" w:rsidR="00F8697C" w:rsidRPr="0052468D" w:rsidRDefault="00162D20">
      <w:pPr>
        <w:spacing w:after="800"/>
        <w:jc w:val="center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B1A276"/>
          <w:sz w:val="26"/>
          <w:lang w:val="pt-PT"/>
        </w:rPr>
        <w:t>Ordem dos Advogados da Guiné-Bissau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697C" w:rsidRPr="0052468D" w14:paraId="0E7812F8" w14:textId="77777777">
        <w:trPr>
          <w:jc w:val="center"/>
        </w:trPr>
        <w:tc>
          <w:tcPr>
            <w:tcW w:w="936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74B7E" w14:textId="77777777" w:rsidR="00F8697C" w:rsidRPr="0052468D" w:rsidRDefault="00162D20">
            <w:pPr>
              <w:spacing w:after="80"/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i/>
                <w:color w:val="505050"/>
                <w:sz w:val="20"/>
                <w:lang w:val="pt-PT"/>
              </w:rPr>
              <w:t>Destinatário: Direção Executiva e Conselho de Tesouraria da OAGB</w:t>
            </w:r>
            <w:r w:rsidRPr="0052468D">
              <w:rPr>
                <w:rFonts w:ascii="Arial" w:hAnsi="Arial" w:cs="Arial"/>
                <w:i/>
                <w:color w:val="505050"/>
                <w:sz w:val="20"/>
                <w:lang w:val="pt-PT"/>
              </w:rPr>
              <w:br/>
              <w:t>Objetivo: Orientar as ações comerciais e administrativas necessárias para transitar do ambiente de testes atual para a cobrança real de quotas e joias de inscrição no portal.</w:t>
            </w:r>
          </w:p>
        </w:tc>
      </w:tr>
    </w:tbl>
    <w:p w14:paraId="2F7C60AD" w14:textId="77777777" w:rsidR="00F8697C" w:rsidRPr="0052468D" w:rsidRDefault="00F8697C">
      <w:pPr>
        <w:spacing w:before="240"/>
        <w:rPr>
          <w:rFonts w:ascii="Arial" w:hAnsi="Arial" w:cs="Arial"/>
          <w:lang w:val="pt-PT"/>
        </w:rPr>
      </w:pPr>
    </w:p>
    <w:p w14:paraId="5195A99C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4D1C21"/>
          <w:sz w:val="36"/>
          <w:lang w:val="pt-PT"/>
        </w:rPr>
        <w:t>Introdução</w:t>
      </w:r>
    </w:p>
    <w:p w14:paraId="75989A90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 xml:space="preserve">O portal da OAGB já se encontra tecnicamente preparado para receber pagamentos online sem que o utilizador saia do site. A infraestrutura atual utiliza o modelo de USSD </w:t>
      </w:r>
      <w:proofErr w:type="spellStart"/>
      <w:r w:rsidRPr="0052468D">
        <w:rPr>
          <w:rFonts w:ascii="Arial" w:hAnsi="Arial" w:cs="Arial"/>
          <w:color w:val="1E1E1E"/>
          <w:lang w:val="pt-PT"/>
        </w:rPr>
        <w:t>Push</w:t>
      </w:r>
      <w:proofErr w:type="spellEnd"/>
      <w:r w:rsidRPr="0052468D">
        <w:rPr>
          <w:rFonts w:ascii="Arial" w:hAnsi="Arial" w:cs="Arial"/>
          <w:color w:val="1E1E1E"/>
          <w:lang w:val="pt-PT"/>
        </w:rPr>
        <w:t>: o utilizador coloca o seu número de telemóvel no site e recebe instantaneamente um pedido de confirmação de PIN no seu telemóvel pessoal para autorizar o pagamento.</w:t>
      </w:r>
    </w:p>
    <w:p w14:paraId="7A6E7ECB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lang w:val="pt-PT"/>
        </w:rPr>
        <w:t xml:space="preserve">Embora o </w:t>
      </w:r>
      <w:proofErr w:type="spellStart"/>
      <w:r w:rsidRPr="0052468D">
        <w:rPr>
          <w:rFonts w:ascii="Arial" w:hAnsi="Arial" w:cs="Arial"/>
          <w:lang w:val="pt-PT"/>
        </w:rPr>
        <w:t>Stripe</w:t>
      </w:r>
      <w:proofErr w:type="spellEnd"/>
      <w:r w:rsidRPr="0052468D">
        <w:rPr>
          <w:rFonts w:ascii="Arial" w:hAnsi="Arial" w:cs="Arial"/>
          <w:lang w:val="pt-PT"/>
        </w:rPr>
        <w:t xml:space="preserve"> não processe diretamente na Guiné-Bissau, o **</w:t>
      </w:r>
      <w:proofErr w:type="spellStart"/>
      <w:r w:rsidRPr="0052468D">
        <w:rPr>
          <w:rFonts w:ascii="Arial" w:hAnsi="Arial" w:cs="Arial"/>
          <w:lang w:val="pt-PT"/>
        </w:rPr>
        <w:t>PayPal</w:t>
      </w:r>
      <w:proofErr w:type="spellEnd"/>
      <w:r w:rsidRPr="0052468D">
        <w:rPr>
          <w:rFonts w:ascii="Arial" w:hAnsi="Arial" w:cs="Arial"/>
          <w:lang w:val="pt-PT"/>
        </w:rPr>
        <w:t xml:space="preserve"> cobre oficialmente o país**, tornando-se uma solução fidedigna e de alta credibilidade internacional. Abaixo detalhamos o protocolo administrativo e técnico para ligar as operadoras móveis locais (Orange Money e MTN </w:t>
      </w:r>
      <w:proofErr w:type="spellStart"/>
      <w:r w:rsidRPr="0052468D">
        <w:rPr>
          <w:rFonts w:ascii="Arial" w:hAnsi="Arial" w:cs="Arial"/>
          <w:lang w:val="pt-PT"/>
        </w:rPr>
        <w:t>MoMo</w:t>
      </w:r>
      <w:proofErr w:type="spellEnd"/>
      <w:r w:rsidRPr="0052468D">
        <w:rPr>
          <w:rFonts w:ascii="Arial" w:hAnsi="Arial" w:cs="Arial"/>
          <w:lang w:val="pt-PT"/>
        </w:rPr>
        <w:t xml:space="preserve">), o </w:t>
      </w:r>
      <w:proofErr w:type="spellStart"/>
      <w:r w:rsidRPr="0052468D">
        <w:rPr>
          <w:rFonts w:ascii="Arial" w:hAnsi="Arial" w:cs="Arial"/>
          <w:lang w:val="pt-PT"/>
        </w:rPr>
        <w:t>gateway</w:t>
      </w:r>
      <w:proofErr w:type="spellEnd"/>
      <w:r w:rsidRPr="0052468D">
        <w:rPr>
          <w:rFonts w:ascii="Arial" w:hAnsi="Arial" w:cs="Arial"/>
          <w:lang w:val="pt-PT"/>
        </w:rPr>
        <w:t xml:space="preserve"> global </w:t>
      </w:r>
      <w:proofErr w:type="spellStart"/>
      <w:r w:rsidRPr="0052468D">
        <w:rPr>
          <w:rFonts w:ascii="Arial" w:hAnsi="Arial" w:cs="Arial"/>
          <w:lang w:val="pt-PT"/>
        </w:rPr>
        <w:t>PayPal</w:t>
      </w:r>
      <w:proofErr w:type="spellEnd"/>
      <w:r w:rsidRPr="0052468D">
        <w:rPr>
          <w:rFonts w:ascii="Arial" w:hAnsi="Arial" w:cs="Arial"/>
          <w:lang w:val="pt-PT"/>
        </w:rPr>
        <w:t xml:space="preserve"> e os agregadores regionais à conta bancária da OAGB.</w:t>
      </w:r>
    </w:p>
    <w:p w14:paraId="7C0334F1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4D1C21"/>
          <w:sz w:val="26"/>
          <w:lang w:val="pt-PT"/>
        </w:rPr>
        <w:t xml:space="preserve">1. Operadoras Móveis (Orange Money &amp; MTN </w:t>
      </w:r>
      <w:proofErr w:type="spellStart"/>
      <w:r w:rsidRPr="0052468D">
        <w:rPr>
          <w:rFonts w:ascii="Arial" w:hAnsi="Arial" w:cs="Arial"/>
          <w:b/>
          <w:color w:val="4D1C21"/>
          <w:sz w:val="26"/>
          <w:lang w:val="pt-PT"/>
        </w:rPr>
        <w:t>MoMo</w:t>
      </w:r>
      <w:proofErr w:type="spellEnd"/>
      <w:r w:rsidRPr="0052468D">
        <w:rPr>
          <w:rFonts w:ascii="Arial" w:hAnsi="Arial" w:cs="Arial"/>
          <w:b/>
          <w:color w:val="4D1C21"/>
          <w:sz w:val="26"/>
          <w:lang w:val="pt-PT"/>
        </w:rPr>
        <w:t>)</w:t>
      </w:r>
    </w:p>
    <w:p w14:paraId="221303DA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 xml:space="preserve">Para que o portal consiga disparar o pedido de PIN real para os telemóveis dos inscritos, a OAGB deve estabelecer um contrato comercial de Integração de Comerciante (Merchant </w:t>
      </w:r>
      <w:proofErr w:type="spellStart"/>
      <w:r w:rsidRPr="0052468D">
        <w:rPr>
          <w:rFonts w:ascii="Arial" w:hAnsi="Arial" w:cs="Arial"/>
          <w:color w:val="1E1E1E"/>
          <w:lang w:val="pt-PT"/>
        </w:rPr>
        <w:t>Integration</w:t>
      </w:r>
      <w:proofErr w:type="spellEnd"/>
      <w:r w:rsidRPr="0052468D">
        <w:rPr>
          <w:rFonts w:ascii="Arial" w:hAnsi="Arial" w:cs="Arial"/>
          <w:color w:val="1E1E1E"/>
          <w:lang w:val="pt-PT"/>
        </w:rPr>
        <w:t>) com ambas as operadoras.</w:t>
      </w:r>
    </w:p>
    <w:p w14:paraId="4E87973D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B1A276"/>
          <w:sz w:val="23"/>
          <w:lang w:val="pt-PT"/>
        </w:rPr>
        <w:t>O que solicitar à Orange Bissau (Orange Money):</w:t>
      </w:r>
    </w:p>
    <w:p w14:paraId="42C1DF38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>A OAGB deve enviar um ofício formal ao departamento de parcerias corporativas da Orange Bissau solicitando:</w:t>
      </w:r>
      <w:r w:rsidRPr="0052468D">
        <w:rPr>
          <w:rFonts w:ascii="Arial" w:hAnsi="Arial" w:cs="Arial"/>
          <w:color w:val="1E1E1E"/>
          <w:lang w:val="pt-PT"/>
        </w:rPr>
        <w:br/>
        <w:t xml:space="preserve">• Serviço: Integração do serviço Orange Money Web </w:t>
      </w:r>
      <w:proofErr w:type="spellStart"/>
      <w:r w:rsidRPr="0052468D">
        <w:rPr>
          <w:rFonts w:ascii="Arial" w:hAnsi="Arial" w:cs="Arial"/>
          <w:color w:val="1E1E1E"/>
          <w:lang w:val="pt-PT"/>
        </w:rPr>
        <w:t>Payment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ou API de Cobrança direta via Merchant API (USSD </w:t>
      </w:r>
      <w:proofErr w:type="spellStart"/>
      <w:r w:rsidRPr="0052468D">
        <w:rPr>
          <w:rFonts w:ascii="Arial" w:hAnsi="Arial" w:cs="Arial"/>
          <w:color w:val="1E1E1E"/>
          <w:lang w:val="pt-PT"/>
        </w:rPr>
        <w:t>Push</w:t>
      </w:r>
      <w:proofErr w:type="spellEnd"/>
      <w:r w:rsidRPr="0052468D">
        <w:rPr>
          <w:rFonts w:ascii="Arial" w:hAnsi="Arial" w:cs="Arial"/>
          <w:color w:val="1E1E1E"/>
          <w:lang w:val="pt-PT"/>
        </w:rPr>
        <w:t>).</w:t>
      </w:r>
      <w:r w:rsidRPr="0052468D">
        <w:rPr>
          <w:rFonts w:ascii="Arial" w:hAnsi="Arial" w:cs="Arial"/>
          <w:color w:val="1E1E1E"/>
          <w:lang w:val="pt-PT"/>
        </w:rPr>
        <w:br/>
        <w:t xml:space="preserve">• Abertura de uma Conta de Comerciante (Merchant </w:t>
      </w:r>
      <w:proofErr w:type="spellStart"/>
      <w:r w:rsidRPr="0052468D">
        <w:rPr>
          <w:rFonts w:ascii="Arial" w:hAnsi="Arial" w:cs="Arial"/>
          <w:color w:val="1E1E1E"/>
          <w:lang w:val="pt-PT"/>
        </w:rPr>
        <w:t>Account</w:t>
      </w:r>
      <w:proofErr w:type="spellEnd"/>
      <w:r w:rsidRPr="0052468D">
        <w:rPr>
          <w:rFonts w:ascii="Arial" w:hAnsi="Arial" w:cs="Arial"/>
          <w:color w:val="1E1E1E"/>
          <w:lang w:val="pt-PT"/>
        </w:rPr>
        <w:t>) associada à conta bancária da OAGB.</w:t>
      </w:r>
      <w:r w:rsidRPr="0052468D">
        <w:rPr>
          <w:rFonts w:ascii="Arial" w:hAnsi="Arial" w:cs="Arial"/>
          <w:color w:val="1E1E1E"/>
          <w:lang w:val="pt-PT"/>
        </w:rPr>
        <w:br/>
        <w:t xml:space="preserve">• Chaves de Acesso de Produção: </w:t>
      </w:r>
      <w:proofErr w:type="spellStart"/>
      <w:r w:rsidRPr="0052468D">
        <w:rPr>
          <w:rFonts w:ascii="Arial" w:hAnsi="Arial" w:cs="Arial"/>
          <w:color w:val="1E1E1E"/>
          <w:lang w:val="pt-PT"/>
        </w:rPr>
        <w:t>Client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ID, </w:t>
      </w:r>
      <w:proofErr w:type="spellStart"/>
      <w:r w:rsidRPr="0052468D">
        <w:rPr>
          <w:rFonts w:ascii="Arial" w:hAnsi="Arial" w:cs="Arial"/>
          <w:color w:val="1E1E1E"/>
          <w:lang w:val="pt-PT"/>
        </w:rPr>
        <w:t>Client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</w:t>
      </w:r>
      <w:proofErr w:type="spellStart"/>
      <w:r w:rsidRPr="0052468D">
        <w:rPr>
          <w:rFonts w:ascii="Arial" w:hAnsi="Arial" w:cs="Arial"/>
          <w:color w:val="1E1E1E"/>
          <w:lang w:val="pt-PT"/>
        </w:rPr>
        <w:t>Secret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e o Merchant </w:t>
      </w:r>
      <w:proofErr w:type="spellStart"/>
      <w:r w:rsidRPr="0052468D">
        <w:rPr>
          <w:rFonts w:ascii="Arial" w:hAnsi="Arial" w:cs="Arial"/>
          <w:color w:val="1E1E1E"/>
          <w:lang w:val="pt-PT"/>
        </w:rPr>
        <w:t>Key</w:t>
      </w:r>
      <w:proofErr w:type="spellEnd"/>
      <w:r w:rsidRPr="0052468D">
        <w:rPr>
          <w:rFonts w:ascii="Arial" w:hAnsi="Arial" w:cs="Arial"/>
          <w:color w:val="1E1E1E"/>
          <w:lang w:val="pt-PT"/>
        </w:rPr>
        <w:t>.</w:t>
      </w:r>
    </w:p>
    <w:p w14:paraId="229D3BF1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B1A276"/>
          <w:sz w:val="23"/>
          <w:lang w:val="pt-PT"/>
        </w:rPr>
        <w:lastRenderedPageBreak/>
        <w:t xml:space="preserve">O que solicitar à MTN Guiné-Bissau (MTN </w:t>
      </w:r>
      <w:proofErr w:type="spellStart"/>
      <w:r w:rsidRPr="0052468D">
        <w:rPr>
          <w:rFonts w:ascii="Arial" w:hAnsi="Arial" w:cs="Arial"/>
          <w:b/>
          <w:color w:val="B1A276"/>
          <w:sz w:val="23"/>
          <w:lang w:val="pt-PT"/>
        </w:rPr>
        <w:t>MoMo</w:t>
      </w:r>
      <w:proofErr w:type="spellEnd"/>
      <w:r w:rsidRPr="0052468D">
        <w:rPr>
          <w:rFonts w:ascii="Arial" w:hAnsi="Arial" w:cs="Arial"/>
          <w:b/>
          <w:color w:val="B1A276"/>
          <w:sz w:val="23"/>
          <w:lang w:val="pt-PT"/>
        </w:rPr>
        <w:t>):</w:t>
      </w:r>
    </w:p>
    <w:p w14:paraId="051142CE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>Da mesma forma, a OAGB deve formalizar o pedido junto do departamento comercial da MTN solicitando:</w:t>
      </w:r>
      <w:r w:rsidRPr="0052468D">
        <w:rPr>
          <w:rFonts w:ascii="Arial" w:hAnsi="Arial" w:cs="Arial"/>
          <w:color w:val="1E1E1E"/>
          <w:lang w:val="pt-PT"/>
        </w:rPr>
        <w:br/>
        <w:t xml:space="preserve">• Serviço: Acesso à MTN </w:t>
      </w:r>
      <w:proofErr w:type="spellStart"/>
      <w:r w:rsidRPr="0052468D">
        <w:rPr>
          <w:rFonts w:ascii="Arial" w:hAnsi="Arial" w:cs="Arial"/>
          <w:color w:val="1E1E1E"/>
          <w:lang w:val="pt-PT"/>
        </w:rPr>
        <w:t>MoMo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API no produto </w:t>
      </w:r>
      <w:proofErr w:type="spellStart"/>
      <w:r w:rsidRPr="0052468D">
        <w:rPr>
          <w:rFonts w:ascii="Arial" w:hAnsi="Arial" w:cs="Arial"/>
          <w:color w:val="1E1E1E"/>
          <w:lang w:val="pt-PT"/>
        </w:rPr>
        <w:t>Collections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(Cobranças).</w:t>
      </w:r>
      <w:r w:rsidRPr="0052468D">
        <w:rPr>
          <w:rFonts w:ascii="Arial" w:hAnsi="Arial" w:cs="Arial"/>
          <w:color w:val="1E1E1E"/>
          <w:lang w:val="pt-PT"/>
        </w:rPr>
        <w:br/>
        <w:t xml:space="preserve">• Subscrição da API de </w:t>
      </w:r>
      <w:proofErr w:type="spellStart"/>
      <w:r w:rsidRPr="0052468D">
        <w:rPr>
          <w:rFonts w:ascii="Arial" w:hAnsi="Arial" w:cs="Arial"/>
          <w:color w:val="1E1E1E"/>
          <w:lang w:val="pt-PT"/>
        </w:rPr>
        <w:t>Collections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no ambiente de produção.</w:t>
      </w:r>
      <w:r w:rsidRPr="0052468D">
        <w:rPr>
          <w:rFonts w:ascii="Arial" w:hAnsi="Arial" w:cs="Arial"/>
          <w:color w:val="1E1E1E"/>
          <w:lang w:val="pt-PT"/>
        </w:rPr>
        <w:br/>
        <w:t xml:space="preserve">• Dados técnicos: </w:t>
      </w:r>
      <w:proofErr w:type="spellStart"/>
      <w:r w:rsidRPr="0052468D">
        <w:rPr>
          <w:rFonts w:ascii="Arial" w:hAnsi="Arial" w:cs="Arial"/>
          <w:color w:val="1E1E1E"/>
          <w:lang w:val="pt-PT"/>
        </w:rPr>
        <w:t>Subscription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</w:t>
      </w:r>
      <w:proofErr w:type="spellStart"/>
      <w:r w:rsidRPr="0052468D">
        <w:rPr>
          <w:rFonts w:ascii="Arial" w:hAnsi="Arial" w:cs="Arial"/>
          <w:color w:val="1E1E1E"/>
          <w:lang w:val="pt-PT"/>
        </w:rPr>
        <w:t>Key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(</w:t>
      </w:r>
      <w:proofErr w:type="spellStart"/>
      <w:r w:rsidRPr="0052468D">
        <w:rPr>
          <w:rFonts w:ascii="Arial" w:hAnsi="Arial" w:cs="Arial"/>
          <w:color w:val="1E1E1E"/>
          <w:lang w:val="pt-PT"/>
        </w:rPr>
        <w:t>Primary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</w:t>
      </w:r>
      <w:proofErr w:type="spellStart"/>
      <w:r w:rsidRPr="0052468D">
        <w:rPr>
          <w:rFonts w:ascii="Arial" w:hAnsi="Arial" w:cs="Arial"/>
          <w:color w:val="1E1E1E"/>
          <w:lang w:val="pt-PT"/>
        </w:rPr>
        <w:t>Key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) e acesso ao portal de parceiro para gerar a API </w:t>
      </w:r>
      <w:proofErr w:type="spellStart"/>
      <w:r w:rsidRPr="0052468D">
        <w:rPr>
          <w:rFonts w:ascii="Arial" w:hAnsi="Arial" w:cs="Arial"/>
          <w:color w:val="1E1E1E"/>
          <w:lang w:val="pt-PT"/>
        </w:rPr>
        <w:t>Key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e o API </w:t>
      </w:r>
      <w:proofErr w:type="spellStart"/>
      <w:r w:rsidRPr="0052468D">
        <w:rPr>
          <w:rFonts w:ascii="Arial" w:hAnsi="Arial" w:cs="Arial"/>
          <w:color w:val="1E1E1E"/>
          <w:lang w:val="pt-PT"/>
        </w:rPr>
        <w:t>User</w:t>
      </w:r>
      <w:proofErr w:type="spellEnd"/>
      <w:r w:rsidRPr="0052468D">
        <w:rPr>
          <w:rFonts w:ascii="Arial" w:hAnsi="Arial" w:cs="Arial"/>
          <w:color w:val="1E1E1E"/>
          <w:lang w:val="pt-PT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8697C" w:rsidRPr="0052468D" w14:paraId="650B4B53" w14:textId="77777777">
        <w:tc>
          <w:tcPr>
            <w:tcW w:w="9360" w:type="dxa"/>
            <w:shd w:val="clear" w:color="auto" w:fill="FD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C796F" w14:textId="77777777" w:rsidR="00F8697C" w:rsidRPr="0052468D" w:rsidRDefault="00162D20">
            <w:pPr>
              <w:spacing w:before="80" w:after="80"/>
              <w:rPr>
                <w:rFonts w:ascii="Arial" w:hAnsi="Arial" w:cs="Arial"/>
                <w:lang w:val="pt-PT"/>
              </w:rPr>
            </w:pPr>
            <w:r w:rsidRPr="0052468D">
              <w:rPr>
                <w:rFonts w:ascii="Segoe UI Emoji" w:hAnsi="Segoe UI Emoji" w:cs="Segoe UI Emoji"/>
                <w:b/>
                <w:color w:val="4D1C21"/>
                <w:sz w:val="20"/>
              </w:rPr>
              <w:t>💡</w:t>
            </w:r>
            <w:r w:rsidRPr="0052468D">
              <w:rPr>
                <w:rFonts w:ascii="Arial" w:hAnsi="Arial" w:cs="Arial"/>
                <w:b/>
                <w:color w:val="4D1C21"/>
                <w:sz w:val="20"/>
                <w:lang w:val="pt-PT"/>
              </w:rPr>
              <w:t xml:space="preserve"> EXPLICAÇÃO: O serviço solicitado em ambos os casos chama-se '</w:t>
            </w:r>
            <w:proofErr w:type="spellStart"/>
            <w:r w:rsidRPr="0052468D">
              <w:rPr>
                <w:rFonts w:ascii="Arial" w:hAnsi="Arial" w:cs="Arial"/>
                <w:b/>
                <w:color w:val="4D1C21"/>
                <w:sz w:val="20"/>
                <w:lang w:val="pt-PT"/>
              </w:rPr>
              <w:t>Collections</w:t>
            </w:r>
            <w:proofErr w:type="spellEnd"/>
            <w:r w:rsidRPr="0052468D">
              <w:rPr>
                <w:rFonts w:ascii="Arial" w:hAnsi="Arial" w:cs="Arial"/>
                <w:b/>
                <w:color w:val="4D1C21"/>
                <w:sz w:val="20"/>
                <w:lang w:val="pt-PT"/>
              </w:rPr>
              <w:t xml:space="preserve"> API via USSD </w:t>
            </w:r>
            <w:proofErr w:type="spellStart"/>
            <w:r w:rsidRPr="0052468D">
              <w:rPr>
                <w:rFonts w:ascii="Arial" w:hAnsi="Arial" w:cs="Arial"/>
                <w:b/>
                <w:color w:val="4D1C21"/>
                <w:sz w:val="20"/>
                <w:lang w:val="pt-PT"/>
              </w:rPr>
              <w:t>Push</w:t>
            </w:r>
            <w:proofErr w:type="spellEnd"/>
            <w:r w:rsidRPr="0052468D">
              <w:rPr>
                <w:rFonts w:ascii="Arial" w:hAnsi="Arial" w:cs="Arial"/>
                <w:b/>
                <w:color w:val="4D1C21"/>
                <w:sz w:val="20"/>
                <w:lang w:val="pt-PT"/>
              </w:rPr>
              <w:t>' (Cobrança direta com pedido de PIN no telemóvel do cliente). Com estas chaves, o portal da OAGB conecta-se de forma segura à rede de telemóveis do país.</w:t>
            </w:r>
          </w:p>
        </w:tc>
      </w:tr>
    </w:tbl>
    <w:p w14:paraId="7D558B3D" w14:textId="77777777" w:rsidR="00F8697C" w:rsidRPr="0052468D" w:rsidRDefault="00F8697C">
      <w:pPr>
        <w:spacing w:before="200"/>
        <w:rPr>
          <w:rFonts w:ascii="Arial" w:hAnsi="Arial" w:cs="Arial"/>
          <w:lang w:val="pt-PT"/>
        </w:rPr>
      </w:pPr>
    </w:p>
    <w:p w14:paraId="55CB9D11" w14:textId="77777777" w:rsidR="00F8697C" w:rsidRPr="0052468D" w:rsidRDefault="00162D20">
      <w:pPr>
        <w:keepNext/>
        <w:spacing w:before="280" w:after="120"/>
        <w:rPr>
          <w:rFonts w:ascii="Arial" w:hAnsi="Arial" w:cs="Arial"/>
          <w:b/>
          <w:bCs/>
          <w:color w:val="4D1C21"/>
          <w:sz w:val="26"/>
          <w:szCs w:val="26"/>
          <w:lang w:val="pt-PT"/>
        </w:rPr>
      </w:pPr>
      <w:r w:rsidRPr="0052468D">
        <w:rPr>
          <w:rFonts w:ascii="Arial" w:hAnsi="Arial" w:cs="Arial"/>
          <w:b/>
          <w:bCs/>
          <w:color w:val="4D1C21"/>
          <w:sz w:val="26"/>
          <w:szCs w:val="26"/>
          <w:lang w:val="pt-PT"/>
        </w:rPr>
        <w:t xml:space="preserve">2. Pagamento por Cartão Bancário &amp; Solução Global </w:t>
      </w:r>
      <w:proofErr w:type="spellStart"/>
      <w:r w:rsidRPr="0052468D">
        <w:rPr>
          <w:rFonts w:ascii="Arial" w:hAnsi="Arial" w:cs="Arial"/>
          <w:b/>
          <w:bCs/>
          <w:color w:val="4D1C21"/>
          <w:sz w:val="26"/>
          <w:szCs w:val="26"/>
          <w:lang w:val="pt-PT"/>
        </w:rPr>
        <w:t>PayPal</w:t>
      </w:r>
      <w:proofErr w:type="spellEnd"/>
      <w:r w:rsidRPr="0052468D">
        <w:rPr>
          <w:rFonts w:ascii="Arial" w:hAnsi="Arial" w:cs="Arial"/>
          <w:b/>
          <w:bCs/>
          <w:color w:val="4D1C21"/>
          <w:sz w:val="26"/>
          <w:szCs w:val="26"/>
          <w:lang w:val="pt-PT"/>
        </w:rPr>
        <w:t xml:space="preserve"> (Altamente Fidedigno)</w:t>
      </w:r>
    </w:p>
    <w:p w14:paraId="7F558364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lang w:val="pt-PT"/>
        </w:rPr>
        <w:t>Para receber pagamentos por cartão e garantir a máxima fidedignidade, a OAGB dispõe agora de duas rotas principais de processamento:</w:t>
      </w:r>
    </w:p>
    <w:p w14:paraId="0E9E9AF4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lang w:val="pt-PT"/>
        </w:rPr>
        <w:t xml:space="preserve">Rota A: Integração Oficial </w:t>
      </w:r>
      <w:proofErr w:type="spellStart"/>
      <w:r w:rsidRPr="0052468D">
        <w:rPr>
          <w:rFonts w:ascii="Arial" w:hAnsi="Arial" w:cs="Arial"/>
          <w:lang w:val="pt-PT"/>
        </w:rPr>
        <w:t>PayPal</w:t>
      </w:r>
      <w:proofErr w:type="spellEnd"/>
      <w:r w:rsidRPr="0052468D">
        <w:rPr>
          <w:rFonts w:ascii="Arial" w:hAnsi="Arial" w:cs="Arial"/>
          <w:lang w:val="pt-PT"/>
        </w:rPr>
        <w:t xml:space="preserve"> Business (Recomendada para Cartões e Fluxo Internacional)</w:t>
      </w:r>
      <w:r w:rsidRPr="0052468D">
        <w:rPr>
          <w:rFonts w:ascii="Arial" w:hAnsi="Arial" w:cs="Arial"/>
          <w:lang w:val="pt-PT"/>
        </w:rPr>
        <w:br/>
        <w:t xml:space="preserve">A Guiné-Bissau é listada oficialmente como elegível para contas </w:t>
      </w:r>
      <w:proofErr w:type="spellStart"/>
      <w:r w:rsidRPr="0052468D">
        <w:rPr>
          <w:rFonts w:ascii="Arial" w:hAnsi="Arial" w:cs="Arial"/>
          <w:lang w:val="pt-PT"/>
        </w:rPr>
        <w:t>PayPal</w:t>
      </w:r>
      <w:proofErr w:type="spellEnd"/>
      <w:r w:rsidRPr="0052468D">
        <w:rPr>
          <w:rFonts w:ascii="Arial" w:hAnsi="Arial" w:cs="Arial"/>
          <w:lang w:val="pt-PT"/>
        </w:rPr>
        <w:t xml:space="preserve"> comerciais. A OAGB pode criar uma conta comercial associada ao seu e-mail corporativo, permitindo aceitar cartões Visa, </w:t>
      </w:r>
      <w:proofErr w:type="spellStart"/>
      <w:r w:rsidRPr="0052468D">
        <w:rPr>
          <w:rFonts w:ascii="Arial" w:hAnsi="Arial" w:cs="Arial"/>
          <w:lang w:val="pt-PT"/>
        </w:rPr>
        <w:t>Mastercard</w:t>
      </w:r>
      <w:proofErr w:type="spellEnd"/>
      <w:r w:rsidRPr="0052468D">
        <w:rPr>
          <w:rFonts w:ascii="Arial" w:hAnsi="Arial" w:cs="Arial"/>
          <w:lang w:val="pt-PT"/>
        </w:rPr>
        <w:t xml:space="preserve"> e pagamentos diretos de forma imediata e sem intermediários regionais. Os fundos acumulados são transferidos diretamente para a conta bancária da Ordem.</w:t>
      </w:r>
      <w:r w:rsidRPr="0052468D">
        <w:rPr>
          <w:rFonts w:ascii="Arial" w:hAnsi="Arial" w:cs="Arial"/>
          <w:lang w:val="pt-PT"/>
        </w:rPr>
        <w:br/>
      </w:r>
      <w:r w:rsidRPr="0052468D">
        <w:rPr>
          <w:rFonts w:ascii="Arial" w:hAnsi="Arial" w:cs="Arial"/>
          <w:lang w:val="pt-PT"/>
        </w:rPr>
        <w:br/>
        <w:t>Rota B: Gateways Regionais UEMOA (</w:t>
      </w:r>
      <w:proofErr w:type="spellStart"/>
      <w:r w:rsidRPr="0052468D">
        <w:rPr>
          <w:rFonts w:ascii="Arial" w:hAnsi="Arial" w:cs="Arial"/>
          <w:lang w:val="pt-PT"/>
        </w:rPr>
        <w:t>FedaPay</w:t>
      </w:r>
      <w:proofErr w:type="spellEnd"/>
      <w:r w:rsidRPr="0052468D">
        <w:rPr>
          <w:rFonts w:ascii="Arial" w:hAnsi="Arial" w:cs="Arial"/>
          <w:lang w:val="pt-PT"/>
        </w:rPr>
        <w:t xml:space="preserve"> / </w:t>
      </w:r>
      <w:proofErr w:type="spellStart"/>
      <w:r w:rsidRPr="0052468D">
        <w:rPr>
          <w:rFonts w:ascii="Arial" w:hAnsi="Arial" w:cs="Arial"/>
          <w:lang w:val="pt-PT"/>
        </w:rPr>
        <w:t>CinetPay</w:t>
      </w:r>
      <w:proofErr w:type="spellEnd"/>
      <w:r w:rsidRPr="0052468D">
        <w:rPr>
          <w:rFonts w:ascii="Arial" w:hAnsi="Arial" w:cs="Arial"/>
          <w:lang w:val="pt-PT"/>
        </w:rPr>
        <w:t>)</w:t>
      </w:r>
      <w:r w:rsidRPr="0052468D">
        <w:rPr>
          <w:rFonts w:ascii="Arial" w:hAnsi="Arial" w:cs="Arial"/>
          <w:lang w:val="pt-PT"/>
        </w:rPr>
        <w:br/>
        <w:t xml:space="preserve">Processadores regionais licenciados operando na moeda oficial do país (Franco CFA - XOF) ligando bancos da rede GIM-UEMOA (como o BDU, BAO, </w:t>
      </w:r>
      <w:proofErr w:type="spellStart"/>
      <w:r w:rsidRPr="0052468D">
        <w:rPr>
          <w:rFonts w:ascii="Arial" w:hAnsi="Arial" w:cs="Arial"/>
          <w:lang w:val="pt-PT"/>
        </w:rPr>
        <w:t>Ecobank</w:t>
      </w:r>
      <w:proofErr w:type="spellEnd"/>
      <w:r w:rsidRPr="0052468D">
        <w:rPr>
          <w:rFonts w:ascii="Arial" w:hAnsi="Arial" w:cs="Arial"/>
          <w:lang w:val="pt-PT"/>
        </w:rPr>
        <w:t xml:space="preserve">). O </w:t>
      </w:r>
      <w:proofErr w:type="spellStart"/>
      <w:r w:rsidRPr="0052468D">
        <w:rPr>
          <w:rFonts w:ascii="Arial" w:hAnsi="Arial" w:cs="Arial"/>
          <w:lang w:val="pt-PT"/>
        </w:rPr>
        <w:t>gateway</w:t>
      </w:r>
      <w:proofErr w:type="spellEnd"/>
      <w:r w:rsidRPr="0052468D">
        <w:rPr>
          <w:rFonts w:ascii="Arial" w:hAnsi="Arial" w:cs="Arial"/>
          <w:lang w:val="pt-PT"/>
        </w:rPr>
        <w:t xml:space="preserve"> processa os cartões locais e internacionais e transfere periodicamente para a conta local da OAGB na Guiné-Bissau.</w:t>
      </w:r>
    </w:p>
    <w:p w14:paraId="75AB2D6C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B1A276"/>
          <w:sz w:val="23"/>
          <w:lang w:val="pt-PT"/>
        </w:rPr>
        <w:t>Gateways de Pagamento Recomendados:</w:t>
      </w:r>
    </w:p>
    <w:p w14:paraId="42FA7D92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 xml:space="preserve">• </w:t>
      </w:r>
      <w:proofErr w:type="spellStart"/>
      <w:r w:rsidRPr="0052468D">
        <w:rPr>
          <w:rFonts w:ascii="Arial" w:hAnsi="Arial" w:cs="Arial"/>
          <w:color w:val="1E1E1E"/>
          <w:lang w:val="pt-PT"/>
        </w:rPr>
        <w:t>FedaPay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(fedapay.com)</w:t>
      </w:r>
      <w:r w:rsidRPr="0052468D">
        <w:rPr>
          <w:rFonts w:ascii="Arial" w:hAnsi="Arial" w:cs="Arial"/>
          <w:color w:val="1E1E1E"/>
          <w:lang w:val="pt-PT"/>
        </w:rPr>
        <w:br/>
        <w:t xml:space="preserve">• </w:t>
      </w:r>
      <w:proofErr w:type="spellStart"/>
      <w:r w:rsidRPr="0052468D">
        <w:rPr>
          <w:rFonts w:ascii="Arial" w:hAnsi="Arial" w:cs="Arial"/>
          <w:color w:val="1E1E1E"/>
          <w:lang w:val="pt-PT"/>
        </w:rPr>
        <w:t>CinetPay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(cinetpay.com)</w:t>
      </w:r>
    </w:p>
    <w:p w14:paraId="1EB03544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B1A276"/>
          <w:sz w:val="23"/>
          <w:lang w:val="pt-PT"/>
        </w:rPr>
        <w:t>Como funciona a associação com a conta bancária da OAGB?</w:t>
      </w:r>
    </w:p>
    <w:p w14:paraId="68F82268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>1. Candidato insere Cartão no Portal OAGB</w:t>
      </w:r>
      <w:r w:rsidRPr="0052468D">
        <w:rPr>
          <w:rFonts w:ascii="Arial" w:hAnsi="Arial" w:cs="Arial"/>
          <w:color w:val="1E1E1E"/>
          <w:lang w:val="pt-PT"/>
        </w:rPr>
        <w:br/>
        <w:t>2. Gateway Regional (</w:t>
      </w:r>
      <w:proofErr w:type="spellStart"/>
      <w:r w:rsidRPr="0052468D">
        <w:rPr>
          <w:rFonts w:ascii="Arial" w:hAnsi="Arial" w:cs="Arial"/>
          <w:color w:val="1E1E1E"/>
          <w:lang w:val="pt-PT"/>
        </w:rPr>
        <w:t>FedaPay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/ </w:t>
      </w:r>
      <w:proofErr w:type="spellStart"/>
      <w:r w:rsidRPr="0052468D">
        <w:rPr>
          <w:rFonts w:ascii="Arial" w:hAnsi="Arial" w:cs="Arial"/>
          <w:color w:val="1E1E1E"/>
          <w:lang w:val="pt-PT"/>
        </w:rPr>
        <w:t>CinetPay</w:t>
      </w:r>
      <w:proofErr w:type="spellEnd"/>
      <w:r w:rsidRPr="0052468D">
        <w:rPr>
          <w:rFonts w:ascii="Arial" w:hAnsi="Arial" w:cs="Arial"/>
          <w:color w:val="1E1E1E"/>
          <w:lang w:val="pt-PT"/>
        </w:rPr>
        <w:t>) processa com segurança</w:t>
      </w:r>
      <w:r w:rsidRPr="0052468D">
        <w:rPr>
          <w:rFonts w:ascii="Arial" w:hAnsi="Arial" w:cs="Arial"/>
          <w:color w:val="1E1E1E"/>
          <w:lang w:val="pt-PT"/>
        </w:rPr>
        <w:br/>
        <w:t xml:space="preserve">3. Liquidação de Fundos e Transferência Bancária </w:t>
      </w:r>
      <w:proofErr w:type="spellStart"/>
      <w:r w:rsidRPr="0052468D">
        <w:rPr>
          <w:rFonts w:ascii="Arial" w:hAnsi="Arial" w:cs="Arial"/>
          <w:color w:val="1E1E1E"/>
          <w:lang w:val="pt-PT"/>
        </w:rPr>
        <w:t>Directa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para a Conta da OAGB na Guiné-Bissau</w:t>
      </w:r>
    </w:p>
    <w:p w14:paraId="124CCC2C" w14:textId="77777777" w:rsidR="00F8697C" w:rsidRPr="0052468D" w:rsidRDefault="00162D20">
      <w:pPr>
        <w:spacing w:after="120"/>
        <w:rPr>
          <w:rFonts w:ascii="Arial" w:hAnsi="Arial" w:cs="Arial"/>
          <w:color w:val="1E1E1E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 xml:space="preserve">• Contrato Único: A OAGB cria uma conta institucional online no </w:t>
      </w:r>
      <w:proofErr w:type="spellStart"/>
      <w:r w:rsidRPr="0052468D">
        <w:rPr>
          <w:rFonts w:ascii="Arial" w:hAnsi="Arial" w:cs="Arial"/>
          <w:color w:val="1E1E1E"/>
          <w:lang w:val="pt-PT"/>
        </w:rPr>
        <w:t>gateway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(</w:t>
      </w:r>
      <w:proofErr w:type="spellStart"/>
      <w:r w:rsidRPr="0052468D">
        <w:rPr>
          <w:rFonts w:ascii="Arial" w:hAnsi="Arial" w:cs="Arial"/>
          <w:color w:val="1E1E1E"/>
          <w:lang w:val="pt-PT"/>
        </w:rPr>
        <w:t>ex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: </w:t>
      </w:r>
      <w:proofErr w:type="spellStart"/>
      <w:r w:rsidRPr="0052468D">
        <w:rPr>
          <w:rFonts w:ascii="Arial" w:hAnsi="Arial" w:cs="Arial"/>
          <w:color w:val="1E1E1E"/>
          <w:lang w:val="pt-PT"/>
        </w:rPr>
        <w:t>FedaPay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ou </w:t>
      </w:r>
      <w:proofErr w:type="spellStart"/>
      <w:r w:rsidRPr="0052468D">
        <w:rPr>
          <w:rFonts w:ascii="Arial" w:hAnsi="Arial" w:cs="Arial"/>
          <w:color w:val="1E1E1E"/>
          <w:lang w:val="pt-PT"/>
        </w:rPr>
        <w:t>CinetPay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) e submete os seus documentos legais (Registo da Ordem, NIF, IBAN da conta </w:t>
      </w:r>
      <w:r w:rsidRPr="0052468D">
        <w:rPr>
          <w:rFonts w:ascii="Arial" w:hAnsi="Arial" w:cs="Arial"/>
          <w:color w:val="1E1E1E"/>
          <w:lang w:val="pt-PT"/>
        </w:rPr>
        <w:lastRenderedPageBreak/>
        <w:t>bancária local).</w:t>
      </w:r>
      <w:r w:rsidRPr="0052468D">
        <w:rPr>
          <w:rFonts w:ascii="Arial" w:hAnsi="Arial" w:cs="Arial"/>
          <w:color w:val="1E1E1E"/>
          <w:lang w:val="pt-PT"/>
        </w:rPr>
        <w:br/>
        <w:t>• Processamento Online: Quando um advogado ou candidato paga com cartão Visa/</w:t>
      </w:r>
      <w:proofErr w:type="spellStart"/>
      <w:r w:rsidRPr="0052468D">
        <w:rPr>
          <w:rFonts w:ascii="Arial" w:hAnsi="Arial" w:cs="Arial"/>
          <w:color w:val="1E1E1E"/>
          <w:lang w:val="pt-PT"/>
        </w:rPr>
        <w:t>Mastercard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internacional ou local no portal da OAGB, o </w:t>
      </w:r>
      <w:proofErr w:type="spellStart"/>
      <w:r w:rsidRPr="0052468D">
        <w:rPr>
          <w:rFonts w:ascii="Arial" w:hAnsi="Arial" w:cs="Arial"/>
          <w:color w:val="1E1E1E"/>
          <w:lang w:val="pt-PT"/>
        </w:rPr>
        <w:t>gateway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regional processa a transação em segurança.</w:t>
      </w:r>
      <w:r w:rsidRPr="0052468D">
        <w:rPr>
          <w:rFonts w:ascii="Arial" w:hAnsi="Arial" w:cs="Arial"/>
          <w:color w:val="1E1E1E"/>
          <w:lang w:val="pt-PT"/>
        </w:rPr>
        <w:br/>
        <w:t>• Transferência para a OAGB (</w:t>
      </w:r>
      <w:proofErr w:type="spellStart"/>
      <w:r w:rsidRPr="0052468D">
        <w:rPr>
          <w:rFonts w:ascii="Arial" w:hAnsi="Arial" w:cs="Arial"/>
          <w:color w:val="1E1E1E"/>
          <w:lang w:val="pt-PT"/>
        </w:rPr>
        <w:t>Payout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): O </w:t>
      </w:r>
      <w:proofErr w:type="spellStart"/>
      <w:r w:rsidRPr="0052468D">
        <w:rPr>
          <w:rFonts w:ascii="Arial" w:hAnsi="Arial" w:cs="Arial"/>
          <w:color w:val="1E1E1E"/>
          <w:lang w:val="pt-PT"/>
        </w:rPr>
        <w:t>gateway</w:t>
      </w:r>
      <w:proofErr w:type="spellEnd"/>
      <w:r w:rsidRPr="0052468D">
        <w:rPr>
          <w:rFonts w:ascii="Arial" w:hAnsi="Arial" w:cs="Arial"/>
          <w:color w:val="1E1E1E"/>
          <w:lang w:val="pt-PT"/>
        </w:rPr>
        <w:t xml:space="preserve"> acumula os saldos em CFA e efetua transferências bancárias periódicas (</w:t>
      </w:r>
      <w:proofErr w:type="spellStart"/>
      <w:r w:rsidRPr="0052468D">
        <w:rPr>
          <w:rFonts w:ascii="Arial" w:hAnsi="Arial" w:cs="Arial"/>
          <w:color w:val="1E1E1E"/>
          <w:lang w:val="pt-PT"/>
        </w:rPr>
        <w:t>ex</w:t>
      </w:r>
      <w:proofErr w:type="spellEnd"/>
      <w:r w:rsidRPr="0052468D">
        <w:rPr>
          <w:rFonts w:ascii="Arial" w:hAnsi="Arial" w:cs="Arial"/>
          <w:color w:val="1E1E1E"/>
          <w:lang w:val="pt-PT"/>
        </w:rPr>
        <w:t>: semanais ou mensais) diretamente para o IBAN da conta bancária da OAGB na Guiné-Bissau.</w:t>
      </w:r>
    </w:p>
    <w:p w14:paraId="2741660A" w14:textId="77777777" w:rsidR="00E978D1" w:rsidRPr="0052468D" w:rsidRDefault="00E978D1">
      <w:pPr>
        <w:spacing w:after="120"/>
        <w:rPr>
          <w:rFonts w:ascii="Arial" w:hAnsi="Arial" w:cs="Arial"/>
          <w:color w:val="1E1E1E"/>
          <w:lang w:val="pt-PT"/>
        </w:rPr>
      </w:pPr>
    </w:p>
    <w:p w14:paraId="12F44E00" w14:textId="77777777" w:rsidR="00E978D1" w:rsidRPr="0052468D" w:rsidRDefault="00E978D1">
      <w:pPr>
        <w:spacing w:after="120"/>
        <w:rPr>
          <w:rFonts w:ascii="Arial" w:hAnsi="Arial" w:cs="Arial"/>
          <w:color w:val="1E1E1E"/>
          <w:lang w:val="pt-PT"/>
        </w:rPr>
      </w:pPr>
      <w:r w:rsidRPr="0052468D">
        <w:rPr>
          <w:rFonts w:ascii="Arial" w:hAnsi="Arial" w:cs="Arial"/>
          <w:noProof/>
          <w:color w:val="1E1E1E"/>
          <w:lang w:val="pt-PT"/>
        </w:rPr>
        <w:drawing>
          <wp:inline distT="0" distB="0" distL="0" distR="0" wp14:anchorId="431A7B5B" wp14:editId="69FB20CE">
            <wp:extent cx="5943600" cy="4295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6"/>
                    <a:srcRect b="14970"/>
                    <a:stretch/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8697C" w:rsidRPr="0052468D" w14:paraId="42E07D0D" w14:textId="77777777"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10A9A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Segoe UI Emoji" w:hAnsi="Segoe UI Emoji" w:cs="Segoe UI Emoji"/>
              </w:rPr>
              <w:t>📌</w:t>
            </w:r>
            <w:r w:rsidRPr="0052468D">
              <w:rPr>
                <w:rFonts w:ascii="Arial" w:hAnsi="Arial" w:cs="Arial"/>
                <w:lang w:val="pt-PT"/>
              </w:rPr>
              <w:t xml:space="preserve"> VANTAGEM ADICIONAL DO GATEWAY REGIONAL: Se a OAGB preferir simplificar os processos burocráticos,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gateways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como 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PayPal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FedaPay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e 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CinetPay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oferecem robuste</w:t>
            </w:r>
            <w:r w:rsidRPr="0052468D">
              <w:rPr>
                <w:rFonts w:ascii="Arial" w:hAnsi="Arial" w:cs="Arial"/>
                <w:lang w:val="pt-PT"/>
              </w:rPr>
              <w:t xml:space="preserve">z máxima. Com 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PayPal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, a OAGB ganha credibilidade internacional imediata, enquanto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gateways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regionais agregam o Orange Money e o MTN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MoMo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da zona UEMOA. Isso significa que a OAGB pode fazer um único contrato com 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gateway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regional e passar a aceitar Cartã</w:t>
            </w:r>
            <w:r w:rsidRPr="0052468D">
              <w:rPr>
                <w:rFonts w:ascii="Arial" w:hAnsi="Arial" w:cs="Arial"/>
                <w:lang w:val="pt-PT"/>
              </w:rPr>
              <w:t>o, Orange e MTN de uma só vez, centralizando todos os recebimentos numa única plataforma.</w:t>
            </w:r>
          </w:p>
        </w:tc>
      </w:tr>
    </w:tbl>
    <w:p w14:paraId="392A4406" w14:textId="77777777" w:rsidR="00F8697C" w:rsidRPr="0052468D" w:rsidRDefault="00F8697C">
      <w:pPr>
        <w:spacing w:before="240"/>
        <w:rPr>
          <w:rFonts w:ascii="Arial" w:hAnsi="Arial" w:cs="Arial"/>
          <w:lang w:val="pt-PT"/>
        </w:rPr>
      </w:pPr>
    </w:p>
    <w:p w14:paraId="25806E07" w14:textId="77777777" w:rsidR="00F8697C" w:rsidRPr="0052468D" w:rsidRDefault="00162D20">
      <w:pPr>
        <w:keepNext/>
        <w:spacing w:before="280"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b/>
          <w:color w:val="4D1C21"/>
          <w:sz w:val="26"/>
          <w:lang w:val="pt-PT"/>
        </w:rPr>
        <w:lastRenderedPageBreak/>
        <w:t>3. Plano de Ação Imediato para a OAGB</w:t>
      </w:r>
    </w:p>
    <w:p w14:paraId="4B09BFD5" w14:textId="77777777" w:rsidR="00F8697C" w:rsidRPr="0052468D" w:rsidRDefault="00162D20">
      <w:pPr>
        <w:spacing w:after="120"/>
        <w:rPr>
          <w:rFonts w:ascii="Arial" w:hAnsi="Arial" w:cs="Arial"/>
          <w:lang w:val="pt-PT"/>
        </w:rPr>
      </w:pPr>
      <w:r w:rsidRPr="0052468D">
        <w:rPr>
          <w:rFonts w:ascii="Arial" w:hAnsi="Arial" w:cs="Arial"/>
          <w:color w:val="1E1E1E"/>
          <w:lang w:val="pt-PT"/>
        </w:rPr>
        <w:t>Abaixo encontra-se a lista de tarefas administrativas recomendadas para a Direção da OAGB: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1872"/>
        <w:gridCol w:w="2016"/>
      </w:tblGrid>
      <w:tr w:rsidR="00F8697C" w:rsidRPr="0052468D" w14:paraId="7FBF6060" w14:textId="77777777" w:rsidTr="00E978D1">
        <w:trPr>
          <w:jc w:val="center"/>
        </w:trPr>
        <w:tc>
          <w:tcPr>
            <w:tcW w:w="1152" w:type="dxa"/>
            <w:shd w:val="clear" w:color="auto" w:fill="4D1C2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13E8C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Etapa</w:t>
            </w:r>
          </w:p>
        </w:tc>
        <w:tc>
          <w:tcPr>
            <w:tcW w:w="4320" w:type="dxa"/>
            <w:shd w:val="clear" w:color="auto" w:fill="4D1C2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577A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Ação</w:t>
            </w:r>
          </w:p>
        </w:tc>
        <w:tc>
          <w:tcPr>
            <w:tcW w:w="1872" w:type="dxa"/>
            <w:shd w:val="clear" w:color="auto" w:fill="4D1C2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DBC42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Responsável</w:t>
            </w:r>
          </w:p>
        </w:tc>
        <w:tc>
          <w:tcPr>
            <w:tcW w:w="2016" w:type="dxa"/>
            <w:shd w:val="clear" w:color="auto" w:fill="4D1C2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C211E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 xml:space="preserve">Status </w:t>
            </w:r>
            <w:r w:rsidRPr="0052468D">
              <w:rPr>
                <w:rFonts w:ascii="Arial" w:hAnsi="Arial" w:cs="Arial"/>
              </w:rPr>
              <w:t>Sugerido</w:t>
            </w:r>
          </w:p>
        </w:tc>
      </w:tr>
      <w:tr w:rsidR="00F8697C" w:rsidRPr="0052468D" w14:paraId="08D7CF28" w14:textId="77777777" w:rsidTr="00E978D1">
        <w:trPr>
          <w:jc w:val="center"/>
        </w:trPr>
        <w:tc>
          <w:tcPr>
            <w:tcW w:w="1152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330A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1</w:t>
            </w:r>
          </w:p>
        </w:tc>
        <w:tc>
          <w:tcPr>
            <w:tcW w:w="4320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3B0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lang w:val="pt-PT"/>
              </w:rPr>
              <w:t xml:space="preserve">Enviar ofício formal à Orange Bissau e MTN Bissau solicitando credenciais de produção de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Collections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API/USSD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Push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>.</w:t>
            </w:r>
          </w:p>
        </w:tc>
        <w:tc>
          <w:tcPr>
            <w:tcW w:w="1872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56EC" w14:textId="77777777" w:rsidR="00DF2C13" w:rsidRPr="0052468D" w:rsidRDefault="0052468D">
            <w:pPr>
              <w:rPr>
                <w:rFonts w:ascii="Arial" w:hAnsi="Arial" w:cs="Arial"/>
              </w:rPr>
            </w:pPr>
            <w:proofErr w:type="spellStart"/>
            <w:r w:rsidRPr="0052468D">
              <w:rPr>
                <w:rFonts w:ascii="Arial" w:hAnsi="Arial" w:cs="Arial"/>
              </w:rPr>
              <w:t>Secretariado</w:t>
            </w:r>
            <w:proofErr w:type="spellEnd"/>
            <w:r w:rsidRPr="0052468D">
              <w:rPr>
                <w:rFonts w:ascii="Arial" w:hAnsi="Arial" w:cs="Arial"/>
              </w:rPr>
              <w:t>-Geral</w:t>
            </w:r>
          </w:p>
        </w:tc>
        <w:tc>
          <w:tcPr>
            <w:tcW w:w="2016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695C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Alta Prioridade</w:t>
            </w:r>
          </w:p>
        </w:tc>
      </w:tr>
      <w:tr w:rsidR="00F8697C" w:rsidRPr="0052468D" w14:paraId="297B9A80" w14:textId="77777777" w:rsidTr="00E978D1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F81D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2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4E6B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lang w:val="pt-PT"/>
              </w:rPr>
              <w:t xml:space="preserve">Criar Conta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PayPal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Business Comercial oficial da OAGB e obter as credenciais de </w:t>
            </w:r>
            <w:r w:rsidRPr="0052468D">
              <w:rPr>
                <w:rFonts w:ascii="Arial" w:hAnsi="Arial" w:cs="Arial"/>
                <w:lang w:val="pt-PT"/>
              </w:rPr>
              <w:t>produção (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Client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ID).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4F8F" w14:textId="77777777" w:rsidR="00DF2C13" w:rsidRPr="0052468D" w:rsidRDefault="0052468D">
            <w:pPr>
              <w:rPr>
                <w:rFonts w:ascii="Arial" w:hAnsi="Arial" w:cs="Arial"/>
              </w:rPr>
            </w:pPr>
            <w:proofErr w:type="spellStart"/>
            <w:r w:rsidRPr="0052468D">
              <w:rPr>
                <w:rFonts w:ascii="Arial" w:hAnsi="Arial" w:cs="Arial"/>
              </w:rPr>
              <w:t>Conselho</w:t>
            </w:r>
            <w:proofErr w:type="spellEnd"/>
            <w:r w:rsidRPr="0052468D">
              <w:rPr>
                <w:rFonts w:ascii="Arial" w:hAnsi="Arial" w:cs="Arial"/>
              </w:rPr>
              <w:t xml:space="preserve"> de </w:t>
            </w:r>
            <w:proofErr w:type="spellStart"/>
            <w:r w:rsidRPr="0052468D">
              <w:rPr>
                <w:rFonts w:ascii="Arial" w:hAnsi="Arial" w:cs="Arial"/>
              </w:rPr>
              <w:t>Tesouraria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2857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Alta Prioridade</w:t>
            </w:r>
          </w:p>
        </w:tc>
      </w:tr>
      <w:tr w:rsidR="00F8697C" w:rsidRPr="0052468D" w14:paraId="0281FE1B" w14:textId="77777777" w:rsidTr="00E978D1">
        <w:trPr>
          <w:jc w:val="center"/>
        </w:trPr>
        <w:tc>
          <w:tcPr>
            <w:tcW w:w="1152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F4F3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3</w:t>
            </w:r>
          </w:p>
        </w:tc>
        <w:tc>
          <w:tcPr>
            <w:tcW w:w="4320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B696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lang w:val="pt-PT"/>
              </w:rPr>
              <w:t xml:space="preserve">Criar conta corporativa e submeter documentação da Ordem (IBAN, NIF, Estatutos) no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gateway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regional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FedaPay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ou 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CinetPay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>.</w:t>
            </w:r>
          </w:p>
        </w:tc>
        <w:tc>
          <w:tcPr>
            <w:tcW w:w="1872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8E0D" w14:textId="77777777" w:rsidR="00DF2C13" w:rsidRPr="0052468D" w:rsidRDefault="0052468D">
            <w:pPr>
              <w:rPr>
                <w:rFonts w:ascii="Arial" w:hAnsi="Arial" w:cs="Arial"/>
              </w:rPr>
            </w:pPr>
            <w:proofErr w:type="spellStart"/>
            <w:r w:rsidRPr="0052468D">
              <w:rPr>
                <w:rFonts w:ascii="Arial" w:hAnsi="Arial" w:cs="Arial"/>
              </w:rPr>
              <w:t>Conselho</w:t>
            </w:r>
            <w:proofErr w:type="spellEnd"/>
            <w:r w:rsidRPr="0052468D">
              <w:rPr>
                <w:rFonts w:ascii="Arial" w:hAnsi="Arial" w:cs="Arial"/>
              </w:rPr>
              <w:t xml:space="preserve"> de </w:t>
            </w:r>
            <w:proofErr w:type="spellStart"/>
            <w:r w:rsidRPr="0052468D">
              <w:rPr>
                <w:rFonts w:ascii="Arial" w:hAnsi="Arial" w:cs="Arial"/>
              </w:rPr>
              <w:t>Tesouraria</w:t>
            </w:r>
            <w:proofErr w:type="spellEnd"/>
          </w:p>
        </w:tc>
        <w:tc>
          <w:tcPr>
            <w:tcW w:w="2016" w:type="dxa"/>
            <w:shd w:val="clear" w:color="auto" w:fill="FD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88C6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Média Prioridade</w:t>
            </w:r>
          </w:p>
        </w:tc>
      </w:tr>
      <w:tr w:rsidR="00F8697C" w:rsidRPr="0052468D" w14:paraId="20ADB66C" w14:textId="77777777" w:rsidTr="00E978D1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140B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4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D9B7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lang w:val="pt-PT"/>
              </w:rPr>
              <w:t xml:space="preserve">Receber as </w:t>
            </w:r>
            <w:r w:rsidRPr="0052468D">
              <w:rPr>
                <w:rFonts w:ascii="Arial" w:hAnsi="Arial" w:cs="Arial"/>
                <w:lang w:val="pt-PT"/>
              </w:rPr>
              <w:t>credenciais e chaves digitais de ambas as operadoras/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gateways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>/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PayPal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>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2BA7" w14:textId="77777777" w:rsidR="00DF2C13" w:rsidRPr="0052468D" w:rsidRDefault="0052468D">
            <w:pPr>
              <w:rPr>
                <w:rFonts w:ascii="Arial" w:hAnsi="Arial" w:cs="Arial"/>
              </w:rPr>
            </w:pPr>
            <w:proofErr w:type="spellStart"/>
            <w:r w:rsidRPr="0052468D">
              <w:rPr>
                <w:rFonts w:ascii="Arial" w:hAnsi="Arial" w:cs="Arial"/>
              </w:rPr>
              <w:t>Departamento</w:t>
            </w:r>
            <w:proofErr w:type="spellEnd"/>
            <w:r w:rsidRPr="0052468D">
              <w:rPr>
                <w:rFonts w:ascii="Arial" w:hAnsi="Arial" w:cs="Arial"/>
              </w:rPr>
              <w:t xml:space="preserve"> de TI / Programador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8E45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Aguardando Etapas Anteriores</w:t>
            </w:r>
          </w:p>
        </w:tc>
      </w:tr>
      <w:tr w:rsidR="00DF2C13" w:rsidRPr="0052468D" w14:paraId="1E1DFA5F" w14:textId="77777777">
        <w:trPr>
          <w:jc w:val="center"/>
        </w:trPr>
        <w:tc>
          <w:tcPr>
            <w:tcW w:w="1152" w:type="dxa"/>
          </w:tcPr>
          <w:p w14:paraId="433C2068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5</w:t>
            </w:r>
          </w:p>
        </w:tc>
        <w:tc>
          <w:tcPr>
            <w:tcW w:w="4320" w:type="dxa"/>
          </w:tcPr>
          <w:p w14:paraId="74B40115" w14:textId="77777777" w:rsidR="00DF2C13" w:rsidRPr="0052468D" w:rsidRDefault="0052468D">
            <w:pPr>
              <w:rPr>
                <w:rFonts w:ascii="Arial" w:hAnsi="Arial" w:cs="Arial"/>
                <w:lang w:val="pt-PT"/>
              </w:rPr>
            </w:pPr>
            <w:r w:rsidRPr="0052468D">
              <w:rPr>
                <w:rFonts w:ascii="Arial" w:hAnsi="Arial" w:cs="Arial"/>
                <w:lang w:val="pt-PT"/>
              </w:rPr>
              <w:t>Inserir as chaves no portal de administração (</w:t>
            </w:r>
            <w:proofErr w:type="spellStart"/>
            <w:r w:rsidRPr="0052468D">
              <w:rPr>
                <w:rFonts w:ascii="Arial" w:hAnsi="Arial" w:cs="Arial"/>
                <w:lang w:val="pt-PT"/>
              </w:rPr>
              <w:t>Admin</w:t>
            </w:r>
            <w:proofErr w:type="spellEnd"/>
            <w:r w:rsidRPr="0052468D">
              <w:rPr>
                <w:rFonts w:ascii="Arial" w:hAnsi="Arial" w:cs="Arial"/>
                <w:lang w:val="pt-PT"/>
              </w:rPr>
              <w:t xml:space="preserve"> → Financeiro → Configurações) e ativar os sistemas em </w:t>
            </w:r>
            <w:r w:rsidRPr="0052468D">
              <w:rPr>
                <w:rFonts w:ascii="Arial" w:hAnsi="Arial" w:cs="Arial"/>
                <w:lang w:val="pt-PT"/>
              </w:rPr>
              <w:t>produção.</w:t>
            </w:r>
          </w:p>
        </w:tc>
        <w:tc>
          <w:tcPr>
            <w:tcW w:w="1872" w:type="dxa"/>
          </w:tcPr>
          <w:p w14:paraId="389A7186" w14:textId="77777777" w:rsidR="00DF2C13" w:rsidRPr="0052468D" w:rsidRDefault="0052468D">
            <w:pPr>
              <w:rPr>
                <w:rFonts w:ascii="Arial" w:hAnsi="Arial" w:cs="Arial"/>
              </w:rPr>
            </w:pPr>
            <w:proofErr w:type="spellStart"/>
            <w:r w:rsidRPr="0052468D">
              <w:rPr>
                <w:rFonts w:ascii="Arial" w:hAnsi="Arial" w:cs="Arial"/>
              </w:rPr>
              <w:t>Administrador</w:t>
            </w:r>
            <w:proofErr w:type="spellEnd"/>
            <w:r w:rsidRPr="0052468D">
              <w:rPr>
                <w:rFonts w:ascii="Arial" w:hAnsi="Arial" w:cs="Arial"/>
              </w:rPr>
              <w:t xml:space="preserve"> do Portal</w:t>
            </w:r>
          </w:p>
        </w:tc>
        <w:tc>
          <w:tcPr>
            <w:tcW w:w="2016" w:type="dxa"/>
          </w:tcPr>
          <w:p w14:paraId="1801F4EE" w14:textId="77777777" w:rsidR="00DF2C13" w:rsidRPr="0052468D" w:rsidRDefault="0052468D">
            <w:pPr>
              <w:rPr>
                <w:rFonts w:ascii="Arial" w:hAnsi="Arial" w:cs="Arial"/>
              </w:rPr>
            </w:pPr>
            <w:r w:rsidRPr="0052468D">
              <w:rPr>
                <w:rFonts w:ascii="Arial" w:hAnsi="Arial" w:cs="Arial"/>
              </w:rPr>
              <w:t>Fase Final</w:t>
            </w:r>
          </w:p>
        </w:tc>
      </w:tr>
    </w:tbl>
    <w:p w14:paraId="7F1AD2EB" w14:textId="77777777" w:rsidR="00162D20" w:rsidRPr="0052468D" w:rsidRDefault="00162D20">
      <w:pPr>
        <w:rPr>
          <w:rFonts w:ascii="Arial" w:hAnsi="Arial" w:cs="Arial"/>
        </w:rPr>
      </w:pPr>
    </w:p>
    <w:sectPr w:rsidR="00162D20" w:rsidRPr="0052468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D20"/>
    <w:rsid w:val="0029639D"/>
    <w:rsid w:val="00297647"/>
    <w:rsid w:val="00326F90"/>
    <w:rsid w:val="0052468D"/>
    <w:rsid w:val="00AA1D8D"/>
    <w:rsid w:val="00B47730"/>
    <w:rsid w:val="00BB6660"/>
    <w:rsid w:val="00CB0664"/>
    <w:rsid w:val="00DF2C13"/>
    <w:rsid w:val="00E978D1"/>
    <w:rsid w:val="00F86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79AA3"/>
  <w14:defaultImageDpi w14:val="300"/>
  <w15:docId w15:val="{66795647-E637-480B-AF44-C52D79D3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9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883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1F883D"/>
            <w:bottom w:val="single" w:sz="2" w:space="0" w:color="E5E7EB"/>
            <w:right w:val="single" w:sz="2" w:space="0" w:color="E5E7EB"/>
          </w:divBdr>
        </w:div>
        <w:div w:id="1195848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889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0400682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0969DA"/>
            <w:bottom w:val="single" w:sz="2" w:space="0" w:color="E5E7EB"/>
            <w:right w:val="single" w:sz="2" w:space="0" w:color="E5E7EB"/>
          </w:divBdr>
        </w:div>
        <w:div w:id="6559117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63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3872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1F883D"/>
            <w:bottom w:val="single" w:sz="2" w:space="0" w:color="E5E7EB"/>
            <w:right w:val="single" w:sz="2" w:space="0" w:color="E5E7EB"/>
          </w:divBdr>
        </w:div>
        <w:div w:id="775563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2682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31823956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0969DA"/>
            <w:bottom w:val="single" w:sz="2" w:space="0" w:color="E5E7EB"/>
            <w:right w:val="single" w:sz="2" w:space="0" w:color="E5E7EB"/>
          </w:divBdr>
        </w:div>
        <w:div w:id="12873522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899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Noelson Barbosa</cp:lastModifiedBy>
  <cp:revision>5</cp:revision>
  <cp:lastPrinted>2026-05-19T12:53:00Z</cp:lastPrinted>
  <dcterms:created xsi:type="dcterms:W3CDTF">2013-12-23T23:15:00Z</dcterms:created>
  <dcterms:modified xsi:type="dcterms:W3CDTF">2026-05-20T19:08:00Z</dcterms:modified>
  <cp:category/>
</cp:coreProperties>
</file>