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4D1C21"/>
          <w:sz w:val="32"/>
        </w:rPr>
        <w:t>Minuta de E-mail de Apresentação – OAGB</w:t>
      </w:r>
    </w:p>
    <w:p>
      <w:pPr>
        <w:spacing w:after="400"/>
      </w:pPr>
      <w:r>
        <w:rPr>
          <w:i/>
          <w:color w:val="787878"/>
          <w:sz w:val="20"/>
        </w:rPr>
        <w:t>Copie o texto dentro da caixa abaixo para colar e enviar no seu ecrã de email.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BF7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r/>
          </w:p>
          <w:p>
            <w:r>
              <w:t>ASSUNTO: Entrega de Atualizações Globais (Frontend &amp; SGA), Guia de Ativação de Pagamentos e Proposta de Formação Presencial – OAGB</w:t>
            </w:r>
          </w:p>
          <w:p>
            <w:r>
              <w:t>Estimado Bastonário, Conselho Nacional e Direção da Ordem dos Advogados da Guiné-Bissau,</w:t>
            </w:r>
          </w:p>
          <w:p/>
          <w:p>
            <w:r>
              <w:t>Esperamos que este email vos encontre de excelente saúde.</w:t>
            </w:r>
          </w:p>
          <w:p/>
          <w:p>
            <w:r>
              <w:t>Vimos, por este meio, apresentar o ponto de situação do conjunto de importantes decisões e implementações de elite que realizámos no portal institucional da OAGB nos últimos dias (tanto na área pública como no painel administrativo SGA), bem como propor os passos imediatos para a autonomização da vossa equipa e ativação dos sistemas de cobrança real de quotas e inscrições.</w:t>
            </w:r>
          </w:p>
          <w:p/>
          <w:p>
            <w:r>
              <w:t>1. Resumo das Decisões e Implementações Efetuadas (Últimos Dias)</w:t>
            </w:r>
          </w:p>
          <w:p/>
          <w:p>
            <w:r>
              <w:t>Nas últimas semanas de trabalho, a nossa equipa operou uma transformação integral na arquitetura e no design do vosso sistema digital. Abaixo destacamos os principais marcos concluídos:</w:t>
            </w:r>
          </w:p>
          <w:p/>
          <w:p>
            <w:r>
              <w:t>A. Reestruturação Visual e Navegação (Frontend Público)</w:t>
            </w:r>
          </w:p>
          <w:p>
            <w:r>
              <w:t>• Identidade Visual e Tipografia Premium: Estabelecemos um sistema de design consistente usando as fontes Libre Baskerville (para títulos institucionais) e Open Sans/Arial (para leitura fluida). Alinhámos todas as margens, cabeçalhos móveis e rodapés para um aspeto moderno e sofisticado.</w:t>
            </w:r>
          </w:p>
          <w:p>
            <w:r>
              <w:t>• Reorganização do Menu de Navegação: Reestruturámos a hierarquia de páginas para tornar o site mais intuitivo. A secção de "Cidadãos" foi devidamente integrada na área de menu "PÚBLICO" e todos os caminhos (breadcrumbs) foram automatizados.</w:t>
            </w:r>
          </w:p>
          <w:p>
            <w:r>
              <w:t>• Novo Painel de Candidatura Digital: Criámos um formulário inteligente onde o candidato anexa diretamente:</w:t>
            </w:r>
          </w:p>
          <w:p>
            <w:r>
              <w:t xml:space="preserve">   - Diploma de Licenciatura e Certificado de Registo Criminal (obrigatório do país de nacionalidade).</w:t>
            </w:r>
          </w:p>
          <w:p>
            <w:r>
              <w:t xml:space="preserve">   - Fotografia tipo passe a cores (fundo liso, para emissão futura da cédula profissional).</w:t>
            </w:r>
          </w:p>
          <w:p>
            <w:r>
              <w:t xml:space="preserve">   - Declaração de Patrono (exigido com base na legislação para inscrições de Advogados Estagiários).</w:t>
            </w:r>
          </w:p>
          <w:p/>
          <w:p>
            <w:r>
              <w:t>B. Arquitetura Financeira e Checkout (Gestão de Membros)</w:t>
            </w:r>
          </w:p>
          <w:p>
            <w:r>
              <w:t>• Decisão de Checkout Local Resiliente &amp; Gateways Fidedignos: Diante da ausência do Stripe na Guiné-Bissau, desenhámos uma arquitetura robusta e multicanal. O portal agora suporta checkout interativo local (Orange Money, MTN MoMo, Sede/Depósito) e está 100% preparado para a integração do **PayPal**, que cobre oficialmente a Guiné-Bissau. O PayPal funcionará como o gateway principal para aceitação direta de cartões de crédito internacionais (VISA/Mastercard), eliminando barreiras cambiais e intermediários regionais.</w:t>
            </w:r>
          </w:p>
          <w:p>
            <w:r>
              <w:t>• Sincronização Dinâmica de Valores: Corrigimos e unificámos o comportamento dinâmico de taxas de inscrição, garantindo que o valor final da joia a pagar se altera de forma correta e instantânea dependendo da categoria escolhida (50.000 XOF para Advogados / 25.000 XOF para Estagiários).</w:t>
            </w:r>
          </w:p>
          <w:p>
            <w:r>
              <w:t>• Controlo Automático de Regularidade de Quotas: Implementámos no portal privado de membros a lógica de controlo de validade financeira (valid_until). O sistema calcula em tempo real o estado de regularidade de cada advogado (Mensal, Trimestral ou Anual), exibindo de forma clara se o membro se encontra "Regularizado" ou "Irregular".</w:t>
            </w:r>
          </w:p>
          <w:p/>
          <w:p>
            <w:r>
              <w:t>C. Otimização do Painel de Controlo Administrativo (SGA / CMS)</w:t>
            </w:r>
          </w:p>
          <w:p>
            <w:r>
              <w:t>• Módulo de Gestão de Média Avançado (AJAX): Implementámos um sistema de eliminação e upload de imagens e anexos em tempo real, sem necessidade de recarregar a página, com pré-visualização instantânea (thumbnails) e suporte a lightboxes para insignação detalhada de documentos de identificação.</w:t>
            </w:r>
          </w:p>
          <w:p>
            <w:r>
              <w:t>• Capacidade Unificada de Artigos, Agenda e Anúncios: Unificámos a tecnologia de publicação. Agora, a Agenda, as Notícias e os Anúncios suportam Imagens de Destaque, Legendas Automáticas, Carrosséis/Galerias de Imagens e Cartões de Descarga de Ficheiros PDF anexados de forma dinâmica.</w:t>
            </w:r>
          </w:p>
          <w:p>
            <w:r>
              <w:t>• Controlo Financeiro Simplificado: Desenvolvemos o ecrã de Admin → Financeiro → Configurações para que a OAGB possa ligar e desligar métodos de pagamento real e simulação, inserindo as chaves das operadoras em menos de um minuto.</w:t>
            </w:r>
          </w:p>
          <w:p/>
          <w:p>
            <w:r>
              <w:t>2. Próximos Passos Comerciais (Ativação Real)</w:t>
            </w:r>
          </w:p>
          <w:p/>
          <w:p>
            <w:r>
              <w:t>Para passar do modo de simulação atual para as cobranças reais, a OAGB tem duas rotas administrativas detalhadas no manual anexo:</w:t>
            </w:r>
          </w:p>
          <w:p>
            <w:r>
              <w:t>• Opção A (PayPal - Cartões Internacionais &amp; Credibilidade): Criação de uma conta PayPal Business Comercial da OAGB (plenamente suportada na Guiné-Bissau). Permite receber pagamentos internacionais por cartão e saldo PayPal de forma direta, rápida e com máxima fidedignidade.</w:t>
            </w:r>
          </w:p>
          <w:p>
            <w:r>
              <w:t>• Opção B (Gateways Multicanais Regionais - FedaPay / CinetPay): Parceria com um gateway da zona UEMOA para agregar Cartão, Orange Money e MTN MoMo num único contrato, centralizando os fundos com liquidação direta no IBAN local da OAGB.</w:t>
            </w:r>
          </w:p>
          <w:p>
            <w:r>
              <w:t>• Opção C (Conexão Direta com Operadoras): Celebração de contratos comerciais individuais nas sedes da Orange Bissau e MTN Bissau para APIs reais de USSD Push.</w:t>
            </w:r>
          </w:p>
          <w:p/>
          <w:p>
            <w:r>
              <w:t>3. Disponibilidade para Formação Presencial e Gestão do Portal</w:t>
            </w:r>
          </w:p>
          <w:p/>
          <w:p>
            <w:r>
              <w:t>Temos total disponibilidade para realizar uma sessão de formação presencial com a vossa equipa administrativa e financeira na sede da OAGB.</w:t>
            </w:r>
          </w:p>
          <w:p>
            <w:r>
              <w:t>O objetivo desta sessão será capacitá-los na gestão autónoma do portal: aprovação de inscrições, verificação de documentos, emissão de recibos, publicação de eventos, notícias e gestão da biblioteca digital.</w:t>
            </w:r>
          </w:p>
          <w:p>
            <w:r>
              <w:t>Aproveitaremos também o momento para recolher o vosso precioso feedback sobre quaisquer melhorias adicionais que desejem ver aplicadas no site.</w:t>
            </w:r>
          </w:p>
          <w:p/>
          <w:p>
            <w:r>
              <w:t>4. Importação Automática de Histórico (Facebook para o Portal via IA)</w:t>
            </w:r>
          </w:p>
          <w:p/>
          <w:p>
            <w:r>
              <w:t>Durante a nossa sessão de formação presencial, caso a Direção considere útil, poderão partilhar connosco as credenciais de acesso à página de Facebook oficial da OAGB. Com estes acessos, a nossa equipa propõe-se a auxiliá-los na importação automática de todo o histórico de publicações relevantes diretamente para a base de dados do novo portal, utilizando ferramentas baseadas em Inteligência Artificial para converter os posts em artigos estruturados no novo site.</w:t>
            </w:r>
          </w:p>
          <w:p/>
          <w:p>
            <w:r>
              <w:t>Ficamos a aguardar as vossas instruções relativamente ao vosso feedback e ao agendamento da sessão de formação.</w:t>
            </w:r>
          </w:p>
          <w:p/>
          <w:p>
            <w:r>
              <w:t>Com os nossos mais respeitosos e cordiais cumprimentos,</w:t>
            </w:r>
          </w:p>
          <w:p/>
          <w:p>
            <w:r>
              <w:t>A Equipa de Desenvolvimento Técnico do Portal OAGB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