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3E0591" w14:textId="77777777" w:rsidR="00F8697C" w:rsidRPr="00BB6660" w:rsidRDefault="00162D20">
      <w:pPr>
        <w:spacing w:before="800"/>
        <w:jc w:val="center"/>
        <w:rPr>
          <w:lang w:val="pt-PT"/>
        </w:rPr>
      </w:pPr>
      <w:r w:rsidRPr="00BB6660">
        <w:rPr>
          <w:rFonts w:ascii="Arial" w:hAnsi="Arial"/>
          <w:b/>
          <w:color w:val="4D1C21"/>
          <w:sz w:val="36"/>
          <w:lang w:val="pt-PT"/>
        </w:rPr>
        <w:t>GUIA EXECUTIVO DE ATIVAÇÃO DE PAGAMENTOS ONLINE (OAGB)</w:t>
      </w:r>
    </w:p>
    <w:p w14:paraId="046860F3" w14:textId="77777777" w:rsidR="00F8697C" w:rsidRPr="00BB6660" w:rsidRDefault="00162D20">
      <w:pPr>
        <w:spacing w:after="800"/>
        <w:jc w:val="center"/>
        <w:rPr>
          <w:lang w:val="pt-PT"/>
        </w:rPr>
      </w:pPr>
      <w:r w:rsidRPr="00BB6660">
        <w:rPr>
          <w:rFonts w:ascii="Arial" w:hAnsi="Arial"/>
          <w:color w:val="B1A276"/>
          <w:sz w:val="26"/>
          <w:lang w:val="pt-PT"/>
        </w:rPr>
        <w:t>Ordem dos Advogados da Guiné-Bissau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8697C" w:rsidRPr="00BB6660" w14:paraId="69737A2F" w14:textId="77777777">
        <w:trPr>
          <w:jc w:val="center"/>
        </w:trPr>
        <w:tc>
          <w:tcPr>
            <w:tcW w:w="936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5BF284" w14:textId="77777777" w:rsidR="00F8697C" w:rsidRPr="00BB6660" w:rsidRDefault="00162D20">
            <w:pPr>
              <w:spacing w:after="80"/>
              <w:rPr>
                <w:lang w:val="pt-PT"/>
              </w:rPr>
            </w:pPr>
            <w:r w:rsidRPr="00BB6660">
              <w:rPr>
                <w:rFonts w:ascii="Arial" w:hAnsi="Arial"/>
                <w:i/>
                <w:color w:val="505050"/>
                <w:sz w:val="20"/>
                <w:lang w:val="pt-PT"/>
              </w:rPr>
              <w:t>Destinatário: Direção Executiva e Conselho de Tesouraria da OAGB</w:t>
            </w:r>
            <w:r w:rsidRPr="00BB6660">
              <w:rPr>
                <w:rFonts w:ascii="Arial" w:hAnsi="Arial"/>
                <w:i/>
                <w:color w:val="505050"/>
                <w:sz w:val="20"/>
                <w:lang w:val="pt-PT"/>
              </w:rPr>
              <w:br/>
              <w:t xml:space="preserve">Objetivo: Orientar as ações comerciais e administrativas necessárias para transitar do </w:t>
            </w:r>
            <w:r w:rsidRPr="00BB6660">
              <w:rPr>
                <w:rFonts w:ascii="Arial" w:hAnsi="Arial"/>
                <w:i/>
                <w:color w:val="505050"/>
                <w:sz w:val="20"/>
                <w:lang w:val="pt-PT"/>
              </w:rPr>
              <w:t>ambiente de testes atual para a cobrança real de quotas e joias de inscrição no portal.</w:t>
            </w:r>
          </w:p>
        </w:tc>
      </w:tr>
    </w:tbl>
    <w:p w14:paraId="0E233AD0" w14:textId="77777777" w:rsidR="00F8697C" w:rsidRPr="00BB6660" w:rsidRDefault="00F8697C">
      <w:pPr>
        <w:spacing w:before="240"/>
        <w:rPr>
          <w:lang w:val="pt-PT"/>
        </w:rPr>
      </w:pPr>
    </w:p>
    <w:p w14:paraId="7893F9F4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4D1C21"/>
          <w:sz w:val="36"/>
          <w:lang w:val="pt-PT"/>
        </w:rPr>
        <w:t>Introdução</w:t>
      </w:r>
    </w:p>
    <w:p w14:paraId="5FE8EEEA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O portal da OAGB já se encontra tecnicamente preparado para receber pagamentos online sem que o utilizador saia do site. A infraestrutura atual utiliza o m</w:t>
      </w:r>
      <w:r w:rsidRPr="00BB6660">
        <w:rPr>
          <w:rFonts w:ascii="Arial" w:hAnsi="Arial"/>
          <w:color w:val="1E1E1E"/>
          <w:lang w:val="pt-PT"/>
        </w:rPr>
        <w:t xml:space="preserve">odelo de USSD </w:t>
      </w:r>
      <w:proofErr w:type="spellStart"/>
      <w:r w:rsidRPr="00BB6660">
        <w:rPr>
          <w:rFonts w:ascii="Arial" w:hAnsi="Arial"/>
          <w:color w:val="1E1E1E"/>
          <w:lang w:val="pt-PT"/>
        </w:rPr>
        <w:t>Push</w:t>
      </w:r>
      <w:proofErr w:type="spellEnd"/>
      <w:r w:rsidRPr="00BB6660">
        <w:rPr>
          <w:rFonts w:ascii="Arial" w:hAnsi="Arial"/>
          <w:color w:val="1E1E1E"/>
          <w:lang w:val="pt-PT"/>
        </w:rPr>
        <w:t>: o utilizador coloca o seu número de telemóvel no site e recebe instantaneamente um pedido de confirmação de PIN no seu telemóvel pessoal para autorizar o pagamento.</w:t>
      </w:r>
    </w:p>
    <w:p w14:paraId="062268CB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 xml:space="preserve">Como </w:t>
      </w:r>
      <w:proofErr w:type="spellStart"/>
      <w:r w:rsidRPr="00BB6660">
        <w:rPr>
          <w:rFonts w:ascii="Arial" w:hAnsi="Arial"/>
          <w:color w:val="1E1E1E"/>
          <w:lang w:val="pt-PT"/>
        </w:rPr>
        <w:t>gateways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globais (como o </w:t>
      </w:r>
      <w:proofErr w:type="spellStart"/>
      <w:r w:rsidRPr="00BB6660">
        <w:rPr>
          <w:rFonts w:ascii="Arial" w:hAnsi="Arial"/>
          <w:color w:val="1E1E1E"/>
          <w:lang w:val="pt-PT"/>
        </w:rPr>
        <w:t>Stripe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ou </w:t>
      </w:r>
      <w:proofErr w:type="spellStart"/>
      <w:r w:rsidRPr="00BB6660">
        <w:rPr>
          <w:rFonts w:ascii="Arial" w:hAnsi="Arial"/>
          <w:color w:val="1E1E1E"/>
          <w:lang w:val="pt-PT"/>
        </w:rPr>
        <w:t>PayPal</w:t>
      </w:r>
      <w:proofErr w:type="spellEnd"/>
      <w:r w:rsidRPr="00BB6660">
        <w:rPr>
          <w:rFonts w:ascii="Arial" w:hAnsi="Arial"/>
          <w:color w:val="1E1E1E"/>
          <w:lang w:val="pt-PT"/>
        </w:rPr>
        <w:t>) não processam diretamen</w:t>
      </w:r>
      <w:r w:rsidRPr="00BB6660">
        <w:rPr>
          <w:rFonts w:ascii="Arial" w:hAnsi="Arial"/>
          <w:color w:val="1E1E1E"/>
          <w:lang w:val="pt-PT"/>
        </w:rPr>
        <w:t>te na Guiné-Bissau, a Ordem deve seguir o seguinte protocolo administrativo para ligar as operadoras móveis locais e a sua conta bancária ao sistema.</w:t>
      </w:r>
    </w:p>
    <w:p w14:paraId="711AE8CB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4D1C21"/>
          <w:sz w:val="26"/>
          <w:lang w:val="pt-PT"/>
        </w:rPr>
        <w:t xml:space="preserve">1. Operadoras Móveis (Orange Money &amp; MTN </w:t>
      </w:r>
      <w:proofErr w:type="spellStart"/>
      <w:r w:rsidRPr="00BB6660">
        <w:rPr>
          <w:rFonts w:ascii="Arial" w:hAnsi="Arial"/>
          <w:b/>
          <w:color w:val="4D1C21"/>
          <w:sz w:val="26"/>
          <w:lang w:val="pt-PT"/>
        </w:rPr>
        <w:t>MoMo</w:t>
      </w:r>
      <w:proofErr w:type="spellEnd"/>
      <w:r w:rsidRPr="00BB6660">
        <w:rPr>
          <w:rFonts w:ascii="Arial" w:hAnsi="Arial"/>
          <w:b/>
          <w:color w:val="4D1C21"/>
          <w:sz w:val="26"/>
          <w:lang w:val="pt-PT"/>
        </w:rPr>
        <w:t>)</w:t>
      </w:r>
    </w:p>
    <w:p w14:paraId="3061A4AA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Para que o portal consiga disparar o pedido de PIN real par</w:t>
      </w:r>
      <w:r w:rsidRPr="00BB6660">
        <w:rPr>
          <w:rFonts w:ascii="Arial" w:hAnsi="Arial"/>
          <w:color w:val="1E1E1E"/>
          <w:lang w:val="pt-PT"/>
        </w:rPr>
        <w:t xml:space="preserve">a os telemóveis dos inscritos, a OAGB deve estabelecer um contrato comercial de Integração de Comerciante (Merchant </w:t>
      </w:r>
      <w:proofErr w:type="spellStart"/>
      <w:r w:rsidRPr="00BB6660">
        <w:rPr>
          <w:rFonts w:ascii="Arial" w:hAnsi="Arial"/>
          <w:color w:val="1E1E1E"/>
          <w:lang w:val="pt-PT"/>
        </w:rPr>
        <w:t>Integration</w:t>
      </w:r>
      <w:proofErr w:type="spellEnd"/>
      <w:r w:rsidRPr="00BB6660">
        <w:rPr>
          <w:rFonts w:ascii="Arial" w:hAnsi="Arial"/>
          <w:color w:val="1E1E1E"/>
          <w:lang w:val="pt-PT"/>
        </w:rPr>
        <w:t>) com ambas as operadoras.</w:t>
      </w:r>
    </w:p>
    <w:p w14:paraId="2CF6DD68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B1A276"/>
          <w:sz w:val="23"/>
          <w:lang w:val="pt-PT"/>
        </w:rPr>
        <w:t>O que solicitar à Orange Bissau (Orange Money):</w:t>
      </w:r>
    </w:p>
    <w:p w14:paraId="1598BBD8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A OAGB deve enviar um ofício formal ao departamento de</w:t>
      </w:r>
      <w:r w:rsidRPr="00BB6660">
        <w:rPr>
          <w:rFonts w:ascii="Arial" w:hAnsi="Arial"/>
          <w:color w:val="1E1E1E"/>
          <w:lang w:val="pt-PT"/>
        </w:rPr>
        <w:t xml:space="preserve"> parcerias corporativas da Orange Bissau solicitando:</w:t>
      </w:r>
      <w:r w:rsidRPr="00BB6660">
        <w:rPr>
          <w:rFonts w:ascii="Arial" w:hAnsi="Arial"/>
          <w:color w:val="1E1E1E"/>
          <w:lang w:val="pt-PT"/>
        </w:rPr>
        <w:br/>
        <w:t xml:space="preserve">• Serviço: Integração do serviço Orange Money Web </w:t>
      </w:r>
      <w:proofErr w:type="spellStart"/>
      <w:r w:rsidRPr="00BB6660">
        <w:rPr>
          <w:rFonts w:ascii="Arial" w:hAnsi="Arial"/>
          <w:color w:val="1E1E1E"/>
          <w:lang w:val="pt-PT"/>
        </w:rPr>
        <w:t>Payment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ou API de Cobrança direta via Merchant API (USSD </w:t>
      </w:r>
      <w:proofErr w:type="spellStart"/>
      <w:r w:rsidRPr="00BB6660">
        <w:rPr>
          <w:rFonts w:ascii="Arial" w:hAnsi="Arial"/>
          <w:color w:val="1E1E1E"/>
          <w:lang w:val="pt-PT"/>
        </w:rPr>
        <w:t>Push</w:t>
      </w:r>
      <w:proofErr w:type="spellEnd"/>
      <w:r w:rsidRPr="00BB6660">
        <w:rPr>
          <w:rFonts w:ascii="Arial" w:hAnsi="Arial"/>
          <w:color w:val="1E1E1E"/>
          <w:lang w:val="pt-PT"/>
        </w:rPr>
        <w:t>).</w:t>
      </w:r>
      <w:r w:rsidRPr="00BB6660">
        <w:rPr>
          <w:rFonts w:ascii="Arial" w:hAnsi="Arial"/>
          <w:color w:val="1E1E1E"/>
          <w:lang w:val="pt-PT"/>
        </w:rPr>
        <w:br/>
        <w:t xml:space="preserve">• Abertura de uma Conta de Comerciante (Merchant </w:t>
      </w:r>
      <w:proofErr w:type="spellStart"/>
      <w:r w:rsidRPr="00BB6660">
        <w:rPr>
          <w:rFonts w:ascii="Arial" w:hAnsi="Arial"/>
          <w:color w:val="1E1E1E"/>
          <w:lang w:val="pt-PT"/>
        </w:rPr>
        <w:t>Account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) associada à conta bancária da </w:t>
      </w:r>
      <w:r w:rsidRPr="00BB6660">
        <w:rPr>
          <w:rFonts w:ascii="Arial" w:hAnsi="Arial"/>
          <w:color w:val="1E1E1E"/>
          <w:lang w:val="pt-PT"/>
        </w:rPr>
        <w:t>OAGB.</w:t>
      </w:r>
      <w:r w:rsidRPr="00BB6660">
        <w:rPr>
          <w:rFonts w:ascii="Arial" w:hAnsi="Arial"/>
          <w:color w:val="1E1E1E"/>
          <w:lang w:val="pt-PT"/>
        </w:rPr>
        <w:br/>
        <w:t xml:space="preserve">• Chaves de Acesso de Produção: </w:t>
      </w:r>
      <w:proofErr w:type="spellStart"/>
      <w:r w:rsidRPr="00BB6660">
        <w:rPr>
          <w:rFonts w:ascii="Arial" w:hAnsi="Arial"/>
          <w:color w:val="1E1E1E"/>
          <w:lang w:val="pt-PT"/>
        </w:rPr>
        <w:t>Client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ID, </w:t>
      </w:r>
      <w:proofErr w:type="spellStart"/>
      <w:r w:rsidRPr="00BB6660">
        <w:rPr>
          <w:rFonts w:ascii="Arial" w:hAnsi="Arial"/>
          <w:color w:val="1E1E1E"/>
          <w:lang w:val="pt-PT"/>
        </w:rPr>
        <w:t>Client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</w:t>
      </w:r>
      <w:proofErr w:type="spellStart"/>
      <w:r w:rsidRPr="00BB6660">
        <w:rPr>
          <w:rFonts w:ascii="Arial" w:hAnsi="Arial"/>
          <w:color w:val="1E1E1E"/>
          <w:lang w:val="pt-PT"/>
        </w:rPr>
        <w:t>Secret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e o Merchant </w:t>
      </w:r>
      <w:proofErr w:type="spellStart"/>
      <w:r w:rsidRPr="00BB6660">
        <w:rPr>
          <w:rFonts w:ascii="Arial" w:hAnsi="Arial"/>
          <w:color w:val="1E1E1E"/>
          <w:lang w:val="pt-PT"/>
        </w:rPr>
        <w:t>Key</w:t>
      </w:r>
      <w:proofErr w:type="spellEnd"/>
      <w:r w:rsidRPr="00BB6660">
        <w:rPr>
          <w:rFonts w:ascii="Arial" w:hAnsi="Arial"/>
          <w:color w:val="1E1E1E"/>
          <w:lang w:val="pt-PT"/>
        </w:rPr>
        <w:t>.</w:t>
      </w:r>
    </w:p>
    <w:p w14:paraId="1F6B17E0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B1A276"/>
          <w:sz w:val="23"/>
          <w:lang w:val="pt-PT"/>
        </w:rPr>
        <w:lastRenderedPageBreak/>
        <w:t xml:space="preserve">O que solicitar à MTN Guiné-Bissau (MTN </w:t>
      </w:r>
      <w:proofErr w:type="spellStart"/>
      <w:r w:rsidRPr="00BB6660">
        <w:rPr>
          <w:rFonts w:ascii="Arial" w:hAnsi="Arial"/>
          <w:b/>
          <w:color w:val="B1A276"/>
          <w:sz w:val="23"/>
          <w:lang w:val="pt-PT"/>
        </w:rPr>
        <w:t>MoMo</w:t>
      </w:r>
      <w:proofErr w:type="spellEnd"/>
      <w:r w:rsidRPr="00BB6660">
        <w:rPr>
          <w:rFonts w:ascii="Arial" w:hAnsi="Arial"/>
          <w:b/>
          <w:color w:val="B1A276"/>
          <w:sz w:val="23"/>
          <w:lang w:val="pt-PT"/>
        </w:rPr>
        <w:t>):</w:t>
      </w:r>
    </w:p>
    <w:p w14:paraId="6A7FAE03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Da mesma forma, a OAGB deve formalizar o pedido junto do departamento comercial da MTN solicitando:</w:t>
      </w:r>
      <w:r w:rsidRPr="00BB6660">
        <w:rPr>
          <w:rFonts w:ascii="Arial" w:hAnsi="Arial"/>
          <w:color w:val="1E1E1E"/>
          <w:lang w:val="pt-PT"/>
        </w:rPr>
        <w:br/>
        <w:t xml:space="preserve">• Serviço: Acesso à MTN </w:t>
      </w:r>
      <w:proofErr w:type="spellStart"/>
      <w:r w:rsidRPr="00BB6660">
        <w:rPr>
          <w:rFonts w:ascii="Arial" w:hAnsi="Arial"/>
          <w:color w:val="1E1E1E"/>
          <w:lang w:val="pt-PT"/>
        </w:rPr>
        <w:t>MoMo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API no produto </w:t>
      </w:r>
      <w:proofErr w:type="spellStart"/>
      <w:r w:rsidRPr="00BB6660">
        <w:rPr>
          <w:rFonts w:ascii="Arial" w:hAnsi="Arial"/>
          <w:color w:val="1E1E1E"/>
          <w:lang w:val="pt-PT"/>
        </w:rPr>
        <w:t>Collections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(Cobranças).</w:t>
      </w:r>
      <w:r w:rsidRPr="00BB6660">
        <w:rPr>
          <w:rFonts w:ascii="Arial" w:hAnsi="Arial"/>
          <w:color w:val="1E1E1E"/>
          <w:lang w:val="pt-PT"/>
        </w:rPr>
        <w:br/>
        <w:t xml:space="preserve">• Subscrição da API de </w:t>
      </w:r>
      <w:proofErr w:type="spellStart"/>
      <w:r w:rsidRPr="00BB6660">
        <w:rPr>
          <w:rFonts w:ascii="Arial" w:hAnsi="Arial"/>
          <w:color w:val="1E1E1E"/>
          <w:lang w:val="pt-PT"/>
        </w:rPr>
        <w:t>Collections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no ambiente de produção.</w:t>
      </w:r>
      <w:r w:rsidRPr="00BB6660">
        <w:rPr>
          <w:rFonts w:ascii="Arial" w:hAnsi="Arial"/>
          <w:color w:val="1E1E1E"/>
          <w:lang w:val="pt-PT"/>
        </w:rPr>
        <w:br/>
        <w:t xml:space="preserve">• Dados técnicos: </w:t>
      </w:r>
      <w:proofErr w:type="spellStart"/>
      <w:r w:rsidRPr="00BB6660">
        <w:rPr>
          <w:rFonts w:ascii="Arial" w:hAnsi="Arial"/>
          <w:color w:val="1E1E1E"/>
          <w:lang w:val="pt-PT"/>
        </w:rPr>
        <w:t>Subscription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</w:t>
      </w:r>
      <w:proofErr w:type="spellStart"/>
      <w:r w:rsidRPr="00BB6660">
        <w:rPr>
          <w:rFonts w:ascii="Arial" w:hAnsi="Arial"/>
          <w:color w:val="1E1E1E"/>
          <w:lang w:val="pt-PT"/>
        </w:rPr>
        <w:t>Key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</w:t>
      </w:r>
      <w:proofErr w:type="spellStart"/>
      <w:r w:rsidRPr="00BB6660">
        <w:rPr>
          <w:rFonts w:ascii="Arial" w:hAnsi="Arial"/>
          <w:color w:val="1E1E1E"/>
          <w:lang w:val="pt-PT"/>
        </w:rPr>
        <w:t>Primary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</w:t>
      </w:r>
      <w:proofErr w:type="spellStart"/>
      <w:r w:rsidRPr="00BB6660">
        <w:rPr>
          <w:rFonts w:ascii="Arial" w:hAnsi="Arial"/>
          <w:color w:val="1E1E1E"/>
          <w:lang w:val="pt-PT"/>
        </w:rPr>
        <w:t>Key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) e acesso ao portal de parceiro para gerar a API </w:t>
      </w:r>
      <w:proofErr w:type="spellStart"/>
      <w:r w:rsidRPr="00BB6660">
        <w:rPr>
          <w:rFonts w:ascii="Arial" w:hAnsi="Arial"/>
          <w:color w:val="1E1E1E"/>
          <w:lang w:val="pt-PT"/>
        </w:rPr>
        <w:t>Key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e o API </w:t>
      </w:r>
      <w:proofErr w:type="spellStart"/>
      <w:r w:rsidRPr="00BB6660">
        <w:rPr>
          <w:rFonts w:ascii="Arial" w:hAnsi="Arial"/>
          <w:color w:val="1E1E1E"/>
          <w:lang w:val="pt-PT"/>
        </w:rPr>
        <w:t>User</w:t>
      </w:r>
      <w:proofErr w:type="spellEnd"/>
      <w:r w:rsidRPr="00BB6660">
        <w:rPr>
          <w:rFonts w:ascii="Arial" w:hAnsi="Arial"/>
          <w:color w:val="1E1E1E"/>
          <w:lang w:val="pt-PT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8697C" w:rsidRPr="00BB6660" w14:paraId="1CAF2E60" w14:textId="77777777">
        <w:tc>
          <w:tcPr>
            <w:tcW w:w="936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43876D" w14:textId="336A6893" w:rsidR="00F8697C" w:rsidRPr="00BB6660" w:rsidRDefault="00162D20">
            <w:pPr>
              <w:spacing w:before="80" w:after="80"/>
              <w:rPr>
                <w:lang w:val="pt-PT"/>
              </w:rPr>
            </w:pPr>
            <w:r>
              <w:rPr>
                <w:rFonts w:ascii="Arial" w:hAnsi="Arial"/>
                <w:b/>
                <w:color w:val="4D1C21"/>
                <w:sz w:val="20"/>
              </w:rPr>
              <w:t>💡</w:t>
            </w:r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 xml:space="preserve"> EXPLICAÇÃO</w:t>
            </w:r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 xml:space="preserve">: O </w:t>
            </w:r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>serviço solicitado em ambos os casos chama-se '</w:t>
            </w:r>
            <w:proofErr w:type="spellStart"/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>Collections</w:t>
            </w:r>
            <w:proofErr w:type="spellEnd"/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 xml:space="preserve"> API via USSD </w:t>
            </w:r>
            <w:proofErr w:type="spellStart"/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>Push</w:t>
            </w:r>
            <w:proofErr w:type="spellEnd"/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>' (Cobrança direta com pedido de PIN no telemóvel do cliente). Com estas chaves, o portal da OAGB conecta-se de forma segura à rede de telemóveis do país.</w:t>
            </w:r>
          </w:p>
        </w:tc>
      </w:tr>
    </w:tbl>
    <w:p w14:paraId="0792E12F" w14:textId="77777777" w:rsidR="00F8697C" w:rsidRPr="00BB6660" w:rsidRDefault="00F8697C">
      <w:pPr>
        <w:spacing w:before="200"/>
        <w:rPr>
          <w:lang w:val="pt-PT"/>
        </w:rPr>
      </w:pPr>
    </w:p>
    <w:p w14:paraId="28D5866B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4D1C21"/>
          <w:sz w:val="26"/>
          <w:lang w:val="pt-PT"/>
        </w:rPr>
        <w:t xml:space="preserve">2. Pagamento por </w:t>
      </w:r>
      <w:r w:rsidRPr="00BB6660">
        <w:rPr>
          <w:rFonts w:ascii="Arial" w:hAnsi="Arial"/>
          <w:b/>
          <w:color w:val="4D1C21"/>
          <w:sz w:val="26"/>
          <w:lang w:val="pt-PT"/>
        </w:rPr>
        <w:t xml:space="preserve">Cartão Bancário (VISA / </w:t>
      </w:r>
      <w:proofErr w:type="spellStart"/>
      <w:r w:rsidRPr="00BB6660">
        <w:rPr>
          <w:rFonts w:ascii="Arial" w:hAnsi="Arial"/>
          <w:b/>
          <w:color w:val="4D1C21"/>
          <w:sz w:val="26"/>
          <w:lang w:val="pt-PT"/>
        </w:rPr>
        <w:t>Mastercard</w:t>
      </w:r>
      <w:proofErr w:type="spellEnd"/>
      <w:r w:rsidRPr="00BB6660">
        <w:rPr>
          <w:rFonts w:ascii="Arial" w:hAnsi="Arial"/>
          <w:b/>
          <w:color w:val="4D1C21"/>
          <w:sz w:val="26"/>
          <w:lang w:val="pt-PT"/>
        </w:rPr>
        <w:t>)</w:t>
      </w:r>
    </w:p>
    <w:p w14:paraId="22926F25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Para receber pagamentos por cartão e garantir que os fundos entram diretamente na conta bancária local da OAGB, a Ordem deve utilizar um Gateway de Pagamento Regional da Zona UEMOA (União Económica e Monetária do Oeste A</w:t>
      </w:r>
      <w:r w:rsidRPr="00BB6660">
        <w:rPr>
          <w:rFonts w:ascii="Arial" w:hAnsi="Arial"/>
          <w:color w:val="1E1E1E"/>
          <w:lang w:val="pt-PT"/>
        </w:rPr>
        <w:t>fricano).</w:t>
      </w:r>
    </w:p>
    <w:p w14:paraId="66BEA1BA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 xml:space="preserve">Dado que o franco CFA (XOF) é a moeda oficial do país e os bancos locais pertencem à rede GIM-UEMOA (como o BDU, BAO, </w:t>
      </w:r>
      <w:proofErr w:type="spellStart"/>
      <w:r w:rsidRPr="00BB6660">
        <w:rPr>
          <w:rFonts w:ascii="Arial" w:hAnsi="Arial"/>
          <w:color w:val="1E1E1E"/>
          <w:lang w:val="pt-PT"/>
        </w:rPr>
        <w:t>Ecobank</w:t>
      </w:r>
      <w:proofErr w:type="spellEnd"/>
      <w:r w:rsidRPr="00BB6660">
        <w:rPr>
          <w:rFonts w:ascii="Arial" w:hAnsi="Arial"/>
          <w:color w:val="1E1E1E"/>
          <w:lang w:val="pt-PT"/>
        </w:rPr>
        <w:t>), a melhor forma de associar o portal à conta bancária é através de agregadores licenciados que operam na nossa região g</w:t>
      </w:r>
      <w:r w:rsidRPr="00BB6660">
        <w:rPr>
          <w:rFonts w:ascii="Arial" w:hAnsi="Arial"/>
          <w:color w:val="1E1E1E"/>
          <w:lang w:val="pt-PT"/>
        </w:rPr>
        <w:t>eográfica.</w:t>
      </w:r>
    </w:p>
    <w:p w14:paraId="3A4F3AC1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B1A276"/>
          <w:sz w:val="23"/>
          <w:lang w:val="pt-PT"/>
        </w:rPr>
        <w:t>Gateways de Pagamento Recomendados:</w:t>
      </w:r>
    </w:p>
    <w:p w14:paraId="0C8DE452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 xml:space="preserve">• </w:t>
      </w:r>
      <w:proofErr w:type="spellStart"/>
      <w:r w:rsidRPr="00BB6660">
        <w:rPr>
          <w:rFonts w:ascii="Arial" w:hAnsi="Arial"/>
          <w:color w:val="1E1E1E"/>
          <w:lang w:val="pt-PT"/>
        </w:rPr>
        <w:t>FedaPay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(fedapay.com)</w:t>
      </w:r>
      <w:r w:rsidRPr="00BB6660">
        <w:rPr>
          <w:rFonts w:ascii="Arial" w:hAnsi="Arial"/>
          <w:color w:val="1E1E1E"/>
          <w:lang w:val="pt-PT"/>
        </w:rPr>
        <w:br/>
        <w:t xml:space="preserve">• </w:t>
      </w:r>
      <w:proofErr w:type="spellStart"/>
      <w:r w:rsidRPr="00BB6660">
        <w:rPr>
          <w:rFonts w:ascii="Arial" w:hAnsi="Arial"/>
          <w:color w:val="1E1E1E"/>
          <w:lang w:val="pt-PT"/>
        </w:rPr>
        <w:t>CinetPay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(cinetpay.com)</w:t>
      </w:r>
    </w:p>
    <w:p w14:paraId="3A7CC7F9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B1A276"/>
          <w:sz w:val="23"/>
          <w:lang w:val="pt-PT"/>
        </w:rPr>
        <w:t>Como funciona a associação com a conta bancária da OAGB?</w:t>
      </w:r>
    </w:p>
    <w:p w14:paraId="60107F69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1. Candidato insere Cartão no Portal OAGB</w:t>
      </w:r>
      <w:r w:rsidRPr="00BB6660">
        <w:rPr>
          <w:rFonts w:ascii="Arial" w:hAnsi="Arial"/>
          <w:color w:val="1E1E1E"/>
          <w:lang w:val="pt-PT"/>
        </w:rPr>
        <w:br/>
        <w:t>2. Gateway Regional (</w:t>
      </w:r>
      <w:proofErr w:type="spellStart"/>
      <w:r w:rsidRPr="00BB6660">
        <w:rPr>
          <w:rFonts w:ascii="Arial" w:hAnsi="Arial"/>
          <w:color w:val="1E1E1E"/>
          <w:lang w:val="pt-PT"/>
        </w:rPr>
        <w:t>FedaPay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/ </w:t>
      </w:r>
      <w:proofErr w:type="spellStart"/>
      <w:r w:rsidRPr="00BB6660">
        <w:rPr>
          <w:rFonts w:ascii="Arial" w:hAnsi="Arial"/>
          <w:color w:val="1E1E1E"/>
          <w:lang w:val="pt-PT"/>
        </w:rPr>
        <w:t>CinetPay</w:t>
      </w:r>
      <w:proofErr w:type="spellEnd"/>
      <w:r w:rsidRPr="00BB6660">
        <w:rPr>
          <w:rFonts w:ascii="Arial" w:hAnsi="Arial"/>
          <w:color w:val="1E1E1E"/>
          <w:lang w:val="pt-PT"/>
        </w:rPr>
        <w:t>) processa com segura</w:t>
      </w:r>
      <w:r w:rsidRPr="00BB6660">
        <w:rPr>
          <w:rFonts w:ascii="Arial" w:hAnsi="Arial"/>
          <w:color w:val="1E1E1E"/>
          <w:lang w:val="pt-PT"/>
        </w:rPr>
        <w:t>nça</w:t>
      </w:r>
      <w:r w:rsidRPr="00BB6660">
        <w:rPr>
          <w:rFonts w:ascii="Arial" w:hAnsi="Arial"/>
          <w:color w:val="1E1E1E"/>
          <w:lang w:val="pt-PT"/>
        </w:rPr>
        <w:br/>
        <w:t xml:space="preserve">3. Liquidação de Fundos e Transferência Bancária </w:t>
      </w:r>
      <w:proofErr w:type="spellStart"/>
      <w:r w:rsidRPr="00BB6660">
        <w:rPr>
          <w:rFonts w:ascii="Arial" w:hAnsi="Arial"/>
          <w:color w:val="1E1E1E"/>
          <w:lang w:val="pt-PT"/>
        </w:rPr>
        <w:t>Directa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para a Conta da OAGB na Guiné-Bissau</w:t>
      </w:r>
    </w:p>
    <w:p w14:paraId="73F4C4D2" w14:textId="3293A761" w:rsidR="00F8697C" w:rsidRDefault="00162D20">
      <w:pPr>
        <w:spacing w:after="120"/>
        <w:rPr>
          <w:rFonts w:ascii="Arial" w:hAnsi="Arial"/>
          <w:color w:val="1E1E1E"/>
          <w:lang w:val="pt-PT"/>
        </w:rPr>
      </w:pPr>
      <w:r w:rsidRPr="00BB6660">
        <w:rPr>
          <w:rFonts w:ascii="Arial" w:hAnsi="Arial"/>
          <w:color w:val="1E1E1E"/>
          <w:lang w:val="pt-PT"/>
        </w:rPr>
        <w:t xml:space="preserve">• Contrato Único: A OAGB cria uma conta institucional online no </w:t>
      </w:r>
      <w:proofErr w:type="spellStart"/>
      <w:r w:rsidRPr="00BB6660">
        <w:rPr>
          <w:rFonts w:ascii="Arial" w:hAnsi="Arial"/>
          <w:color w:val="1E1E1E"/>
          <w:lang w:val="pt-PT"/>
        </w:rPr>
        <w:t>gateway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</w:t>
      </w:r>
      <w:proofErr w:type="spellStart"/>
      <w:r w:rsidRPr="00BB6660">
        <w:rPr>
          <w:rFonts w:ascii="Arial" w:hAnsi="Arial"/>
          <w:color w:val="1E1E1E"/>
          <w:lang w:val="pt-PT"/>
        </w:rPr>
        <w:t>ex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: </w:t>
      </w:r>
      <w:proofErr w:type="spellStart"/>
      <w:r w:rsidRPr="00BB6660">
        <w:rPr>
          <w:rFonts w:ascii="Arial" w:hAnsi="Arial"/>
          <w:color w:val="1E1E1E"/>
          <w:lang w:val="pt-PT"/>
        </w:rPr>
        <w:t>FedaPay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ou </w:t>
      </w:r>
      <w:proofErr w:type="spellStart"/>
      <w:r w:rsidRPr="00BB6660">
        <w:rPr>
          <w:rFonts w:ascii="Arial" w:hAnsi="Arial"/>
          <w:color w:val="1E1E1E"/>
          <w:lang w:val="pt-PT"/>
        </w:rPr>
        <w:t>CinetPay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) e submete os seus documentos legais (Registo da Ordem, NIF, </w:t>
      </w:r>
      <w:r w:rsidRPr="00BB6660">
        <w:rPr>
          <w:rFonts w:ascii="Arial" w:hAnsi="Arial"/>
          <w:color w:val="1E1E1E"/>
          <w:lang w:val="pt-PT"/>
        </w:rPr>
        <w:t>IBAN da conta bancária local).</w:t>
      </w:r>
      <w:r w:rsidRPr="00BB6660">
        <w:rPr>
          <w:rFonts w:ascii="Arial" w:hAnsi="Arial"/>
          <w:color w:val="1E1E1E"/>
          <w:lang w:val="pt-PT"/>
        </w:rPr>
        <w:br/>
        <w:t>• Processamento Online: Quando um advogado ou candidato paga com cartão Visa/</w:t>
      </w:r>
      <w:proofErr w:type="spellStart"/>
      <w:r w:rsidRPr="00BB6660">
        <w:rPr>
          <w:rFonts w:ascii="Arial" w:hAnsi="Arial"/>
          <w:color w:val="1E1E1E"/>
          <w:lang w:val="pt-PT"/>
        </w:rPr>
        <w:t>Mastercard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internacional ou local no portal da OAGB, o </w:t>
      </w:r>
      <w:proofErr w:type="spellStart"/>
      <w:r w:rsidRPr="00BB6660">
        <w:rPr>
          <w:rFonts w:ascii="Arial" w:hAnsi="Arial"/>
          <w:color w:val="1E1E1E"/>
          <w:lang w:val="pt-PT"/>
        </w:rPr>
        <w:t>gateway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regional processa a transação em segurança.</w:t>
      </w:r>
      <w:r w:rsidRPr="00BB6660">
        <w:rPr>
          <w:rFonts w:ascii="Arial" w:hAnsi="Arial"/>
          <w:color w:val="1E1E1E"/>
          <w:lang w:val="pt-PT"/>
        </w:rPr>
        <w:br/>
        <w:t>• Transferência para a OAGB (</w:t>
      </w:r>
      <w:proofErr w:type="spellStart"/>
      <w:r w:rsidRPr="00BB6660">
        <w:rPr>
          <w:rFonts w:ascii="Arial" w:hAnsi="Arial"/>
          <w:color w:val="1E1E1E"/>
          <w:lang w:val="pt-PT"/>
        </w:rPr>
        <w:t>Payout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): O </w:t>
      </w:r>
      <w:proofErr w:type="spellStart"/>
      <w:r w:rsidRPr="00BB6660">
        <w:rPr>
          <w:rFonts w:ascii="Arial" w:hAnsi="Arial"/>
          <w:color w:val="1E1E1E"/>
          <w:lang w:val="pt-PT"/>
        </w:rPr>
        <w:t>g</w:t>
      </w:r>
      <w:r w:rsidRPr="00BB6660">
        <w:rPr>
          <w:rFonts w:ascii="Arial" w:hAnsi="Arial"/>
          <w:color w:val="1E1E1E"/>
          <w:lang w:val="pt-PT"/>
        </w:rPr>
        <w:t>ateway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acumula os saldos em CFA e efetua transferências bancárias periódicas (</w:t>
      </w:r>
      <w:proofErr w:type="spellStart"/>
      <w:r w:rsidRPr="00BB6660">
        <w:rPr>
          <w:rFonts w:ascii="Arial" w:hAnsi="Arial"/>
          <w:color w:val="1E1E1E"/>
          <w:lang w:val="pt-PT"/>
        </w:rPr>
        <w:t>ex</w:t>
      </w:r>
      <w:proofErr w:type="spellEnd"/>
      <w:r w:rsidRPr="00BB6660">
        <w:rPr>
          <w:rFonts w:ascii="Arial" w:hAnsi="Arial"/>
          <w:color w:val="1E1E1E"/>
          <w:lang w:val="pt-PT"/>
        </w:rPr>
        <w:t>: semanais ou mensais) diretamente para o IBAN da conta bancária da OAGB na Guiné-Bissau.</w:t>
      </w:r>
    </w:p>
    <w:p w14:paraId="65891113" w14:textId="5660E1C3" w:rsidR="00E978D1" w:rsidRDefault="00E978D1">
      <w:pPr>
        <w:spacing w:after="120"/>
        <w:rPr>
          <w:rFonts w:ascii="Arial" w:hAnsi="Arial"/>
          <w:color w:val="1E1E1E"/>
          <w:lang w:val="pt-PT"/>
        </w:rPr>
      </w:pPr>
    </w:p>
    <w:p w14:paraId="5DC1EA34" w14:textId="3012DADF" w:rsidR="00E978D1" w:rsidRDefault="00E978D1">
      <w:pPr>
        <w:spacing w:after="120"/>
        <w:rPr>
          <w:rFonts w:ascii="Arial" w:hAnsi="Arial"/>
          <w:color w:val="1E1E1E"/>
          <w:lang w:val="pt-PT"/>
        </w:rPr>
      </w:pPr>
      <w:r>
        <w:rPr>
          <w:rFonts w:ascii="Arial" w:hAnsi="Arial"/>
          <w:noProof/>
          <w:color w:val="1E1E1E"/>
          <w:lang w:val="pt-PT"/>
        </w:rPr>
        <w:lastRenderedPageBreak/>
        <w:drawing>
          <wp:inline distT="0" distB="0" distL="0" distR="0" wp14:anchorId="5E635C2D" wp14:editId="02846C6C">
            <wp:extent cx="5943600" cy="429577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 rotWithShape="1">
                    <a:blip r:embed="rId6"/>
                    <a:srcRect b="14970"/>
                    <a:stretch/>
                  </pic:blipFill>
                  <pic:spPr bwMode="auto">
                    <a:xfrm>
                      <a:off x="0" y="0"/>
                      <a:ext cx="5943600" cy="4295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8697C" w:rsidRPr="00BB6660" w14:paraId="0D053176" w14:textId="77777777">
        <w:tc>
          <w:tcPr>
            <w:tcW w:w="9360" w:type="dxa"/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2F98CA" w14:textId="77777777" w:rsidR="00F8697C" w:rsidRPr="00BB6660" w:rsidRDefault="00162D20">
            <w:pPr>
              <w:spacing w:before="80" w:after="80"/>
              <w:rPr>
                <w:lang w:val="pt-PT"/>
              </w:rPr>
            </w:pPr>
            <w:r>
              <w:rPr>
                <w:rFonts w:ascii="Arial" w:hAnsi="Arial"/>
                <w:i/>
                <w:color w:val="1E1E1E"/>
                <w:sz w:val="20"/>
              </w:rPr>
              <w:t>📌</w:t>
            </w:r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 xml:space="preserve"> VANTAGEM ADICIONAL DO GATEWAY REGIONAL: Se a OAGB preferir simplificar os processos</w:t>
            </w:r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 xml:space="preserve"> burocráticos, </w:t>
            </w:r>
            <w:proofErr w:type="spellStart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>gateways</w:t>
            </w:r>
            <w:proofErr w:type="spellEnd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 xml:space="preserve"> como o </w:t>
            </w:r>
            <w:proofErr w:type="spellStart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>FedaPay</w:t>
            </w:r>
            <w:proofErr w:type="spellEnd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 xml:space="preserve"> e o </w:t>
            </w:r>
            <w:proofErr w:type="spellStart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>CinetPay</w:t>
            </w:r>
            <w:proofErr w:type="spellEnd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 xml:space="preserve"> também integram nativamente o Orange Money e o MTN </w:t>
            </w:r>
            <w:proofErr w:type="spellStart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>MoMo</w:t>
            </w:r>
            <w:proofErr w:type="spellEnd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 xml:space="preserve"> da zona UEMOA. Isso significa que a OAGB pode fazer um único contrato com o </w:t>
            </w:r>
            <w:proofErr w:type="spellStart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>gateway</w:t>
            </w:r>
            <w:proofErr w:type="spellEnd"/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 xml:space="preserve"> regional e passar a aceitar Cartão, Orange e MTN de uma só vez, </w:t>
            </w:r>
            <w:r w:rsidRPr="00BB6660">
              <w:rPr>
                <w:rFonts w:ascii="Arial" w:hAnsi="Arial"/>
                <w:i/>
                <w:color w:val="1E1E1E"/>
                <w:sz w:val="20"/>
                <w:lang w:val="pt-PT"/>
              </w:rPr>
              <w:t>centralizando todos os recebimentos numa única plataforma.</w:t>
            </w:r>
          </w:p>
        </w:tc>
      </w:tr>
    </w:tbl>
    <w:p w14:paraId="1B473890" w14:textId="77777777" w:rsidR="00F8697C" w:rsidRPr="00BB6660" w:rsidRDefault="00F8697C">
      <w:pPr>
        <w:spacing w:before="240"/>
        <w:rPr>
          <w:lang w:val="pt-PT"/>
        </w:rPr>
      </w:pPr>
    </w:p>
    <w:p w14:paraId="1651A4BD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4D1C21"/>
          <w:sz w:val="26"/>
          <w:lang w:val="pt-PT"/>
        </w:rPr>
        <w:t>3. Plano de Ação Imediato para a OAGB</w:t>
      </w:r>
    </w:p>
    <w:p w14:paraId="55299185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Abaixo encontra-se a lista de tarefas administrativas recomendadas para a Direção da OAGB: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4320"/>
        <w:gridCol w:w="1872"/>
        <w:gridCol w:w="2016"/>
      </w:tblGrid>
      <w:tr w:rsidR="00F8697C" w14:paraId="62EB4D2A" w14:textId="77777777" w:rsidTr="00E978D1">
        <w:trPr>
          <w:jc w:val="center"/>
        </w:trPr>
        <w:tc>
          <w:tcPr>
            <w:tcW w:w="1152" w:type="dxa"/>
            <w:shd w:val="clear" w:color="auto" w:fill="4D1C2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07143" w14:textId="77777777" w:rsidR="00F8697C" w:rsidRDefault="00162D2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Etapa</w:t>
            </w:r>
          </w:p>
        </w:tc>
        <w:tc>
          <w:tcPr>
            <w:tcW w:w="4320" w:type="dxa"/>
            <w:shd w:val="clear" w:color="auto" w:fill="4D1C2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C5D7EE" w14:textId="77777777" w:rsidR="00F8697C" w:rsidRDefault="00162D20">
            <w:r>
              <w:rPr>
                <w:rFonts w:ascii="Arial" w:hAnsi="Arial"/>
                <w:b/>
                <w:color w:val="FFFFFF"/>
                <w:sz w:val="19"/>
              </w:rPr>
              <w:t>Ação</w:t>
            </w:r>
          </w:p>
        </w:tc>
        <w:tc>
          <w:tcPr>
            <w:tcW w:w="1872" w:type="dxa"/>
            <w:shd w:val="clear" w:color="auto" w:fill="4D1C2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F98EF7" w14:textId="77777777" w:rsidR="00F8697C" w:rsidRDefault="00162D2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Responsável</w:t>
            </w:r>
          </w:p>
        </w:tc>
        <w:tc>
          <w:tcPr>
            <w:tcW w:w="2016" w:type="dxa"/>
            <w:shd w:val="clear" w:color="auto" w:fill="4D1C2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EE7AD7" w14:textId="77777777" w:rsidR="00F8697C" w:rsidRDefault="00162D2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Status Sugerido</w:t>
            </w:r>
          </w:p>
        </w:tc>
      </w:tr>
      <w:tr w:rsidR="00F8697C" w14:paraId="24002A61" w14:textId="77777777" w:rsidTr="00E978D1">
        <w:trPr>
          <w:jc w:val="center"/>
        </w:trPr>
        <w:tc>
          <w:tcPr>
            <w:tcW w:w="1152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C33E6" w14:textId="77777777" w:rsidR="00F8697C" w:rsidRDefault="00162D20">
            <w:pPr>
              <w:jc w:val="center"/>
            </w:pPr>
            <w:r>
              <w:rPr>
                <w:rFonts w:ascii="Arial" w:hAnsi="Arial"/>
                <w:color w:val="1E1E1E"/>
                <w:sz w:val="18"/>
              </w:rPr>
              <w:t>1</w:t>
            </w:r>
          </w:p>
        </w:tc>
        <w:tc>
          <w:tcPr>
            <w:tcW w:w="4320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F11F" w14:textId="77777777" w:rsidR="00F8697C" w:rsidRPr="00BB6660" w:rsidRDefault="00162D20">
            <w:pPr>
              <w:rPr>
                <w:lang w:val="pt-PT"/>
              </w:rPr>
            </w:pPr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 xml:space="preserve">Enviar ofício </w:t>
            </w:r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 xml:space="preserve">formal à Orange Bissau e MTN Bissau solicitando credenciais de produção de </w:t>
            </w:r>
            <w:proofErr w:type="spellStart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Collections</w:t>
            </w:r>
            <w:proofErr w:type="spellEnd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 xml:space="preserve"> API/USSD </w:t>
            </w:r>
            <w:proofErr w:type="spellStart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Push</w:t>
            </w:r>
            <w:proofErr w:type="spellEnd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.</w:t>
            </w:r>
          </w:p>
        </w:tc>
        <w:tc>
          <w:tcPr>
            <w:tcW w:w="1872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201C2" w14:textId="77777777" w:rsidR="00F8697C" w:rsidRDefault="00162D20">
            <w:proofErr w:type="spellStart"/>
            <w:r>
              <w:rPr>
                <w:rFonts w:ascii="Arial" w:hAnsi="Arial"/>
                <w:color w:val="1E1E1E"/>
                <w:sz w:val="18"/>
              </w:rPr>
              <w:t>Secretariado</w:t>
            </w:r>
            <w:proofErr w:type="spellEnd"/>
            <w:r>
              <w:rPr>
                <w:rFonts w:ascii="Arial" w:hAnsi="Arial"/>
                <w:color w:val="1E1E1E"/>
                <w:sz w:val="18"/>
              </w:rPr>
              <w:t>-Geral</w:t>
            </w:r>
          </w:p>
        </w:tc>
        <w:tc>
          <w:tcPr>
            <w:tcW w:w="2016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A64F6" w14:textId="77777777" w:rsidR="00F8697C" w:rsidRDefault="00162D20">
            <w:pPr>
              <w:jc w:val="center"/>
            </w:pPr>
            <w:r>
              <w:rPr>
                <w:rFonts w:ascii="Arial" w:hAnsi="Arial"/>
                <w:b/>
                <w:color w:val="4D1C21"/>
                <w:sz w:val="18"/>
              </w:rPr>
              <w:t>Alta Prioridade</w:t>
            </w:r>
          </w:p>
        </w:tc>
      </w:tr>
      <w:tr w:rsidR="00F8697C" w14:paraId="72D3FA26" w14:textId="77777777" w:rsidTr="00E978D1">
        <w:trPr>
          <w:jc w:val="center"/>
        </w:trPr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68C21" w14:textId="77777777" w:rsidR="00F8697C" w:rsidRDefault="00162D20">
            <w:pPr>
              <w:jc w:val="center"/>
            </w:pPr>
            <w:r>
              <w:rPr>
                <w:rFonts w:ascii="Arial" w:hAnsi="Arial"/>
                <w:color w:val="1E1E1E"/>
                <w:sz w:val="18"/>
              </w:rPr>
              <w:t>2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A8D01" w14:textId="77777777" w:rsidR="00F8697C" w:rsidRPr="00BB6660" w:rsidRDefault="00162D20">
            <w:pPr>
              <w:rPr>
                <w:lang w:val="pt-PT"/>
              </w:rPr>
            </w:pPr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 xml:space="preserve">Criar conta corporativa e submeter documentação da Ordem (IBAN, NIF, Estatutos) no </w:t>
            </w:r>
            <w:proofErr w:type="spellStart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gateway</w:t>
            </w:r>
            <w:proofErr w:type="spellEnd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 xml:space="preserve"> </w:t>
            </w:r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lastRenderedPageBreak/>
              <w:t xml:space="preserve">regional </w:t>
            </w:r>
            <w:proofErr w:type="spellStart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FedaPay</w:t>
            </w:r>
            <w:proofErr w:type="spellEnd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 xml:space="preserve"> ou </w:t>
            </w:r>
            <w:proofErr w:type="spellStart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CinetPay</w:t>
            </w:r>
            <w:proofErr w:type="spellEnd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.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02FFD" w14:textId="77777777" w:rsidR="00F8697C" w:rsidRDefault="00162D20">
            <w:proofErr w:type="spellStart"/>
            <w:r>
              <w:rPr>
                <w:rFonts w:ascii="Arial" w:hAnsi="Arial"/>
                <w:color w:val="1E1E1E"/>
                <w:sz w:val="18"/>
              </w:rPr>
              <w:lastRenderedPageBreak/>
              <w:t>Conselho</w:t>
            </w:r>
            <w:proofErr w:type="spellEnd"/>
            <w:r>
              <w:rPr>
                <w:rFonts w:ascii="Arial" w:hAnsi="Arial"/>
                <w:color w:val="1E1E1E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color w:val="1E1E1E"/>
                <w:sz w:val="18"/>
              </w:rPr>
              <w:t>Tesouraria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C178" w14:textId="77777777" w:rsidR="00F8697C" w:rsidRDefault="00162D20">
            <w:pPr>
              <w:jc w:val="center"/>
            </w:pPr>
            <w:r>
              <w:rPr>
                <w:rFonts w:ascii="Arial" w:hAnsi="Arial"/>
                <w:b/>
                <w:color w:val="4D1C21"/>
                <w:sz w:val="18"/>
              </w:rPr>
              <w:t>Alta Prioridade</w:t>
            </w:r>
          </w:p>
        </w:tc>
      </w:tr>
      <w:tr w:rsidR="00F8697C" w14:paraId="6C802555" w14:textId="77777777" w:rsidTr="00E978D1">
        <w:trPr>
          <w:jc w:val="center"/>
        </w:trPr>
        <w:tc>
          <w:tcPr>
            <w:tcW w:w="1152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70AD" w14:textId="77777777" w:rsidR="00F8697C" w:rsidRDefault="00162D20">
            <w:pPr>
              <w:jc w:val="center"/>
            </w:pPr>
            <w:r>
              <w:rPr>
                <w:rFonts w:ascii="Arial" w:hAnsi="Arial"/>
                <w:color w:val="1E1E1E"/>
                <w:sz w:val="18"/>
              </w:rPr>
              <w:t>3</w:t>
            </w:r>
          </w:p>
        </w:tc>
        <w:tc>
          <w:tcPr>
            <w:tcW w:w="4320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73D6" w14:textId="77777777" w:rsidR="00F8697C" w:rsidRPr="00BB6660" w:rsidRDefault="00162D20">
            <w:pPr>
              <w:rPr>
                <w:lang w:val="pt-PT"/>
              </w:rPr>
            </w:pPr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Receber as credenciais e chaves digitais de ambas as operadoras/</w:t>
            </w:r>
            <w:proofErr w:type="spellStart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gateways</w:t>
            </w:r>
            <w:proofErr w:type="spellEnd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.</w:t>
            </w:r>
          </w:p>
        </w:tc>
        <w:tc>
          <w:tcPr>
            <w:tcW w:w="1872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D487" w14:textId="77777777" w:rsidR="00F8697C" w:rsidRDefault="00162D20">
            <w:proofErr w:type="spellStart"/>
            <w:r>
              <w:rPr>
                <w:rFonts w:ascii="Arial" w:hAnsi="Arial"/>
                <w:color w:val="1E1E1E"/>
                <w:sz w:val="18"/>
              </w:rPr>
              <w:t>Departamento</w:t>
            </w:r>
            <w:proofErr w:type="spellEnd"/>
            <w:r>
              <w:rPr>
                <w:rFonts w:ascii="Arial" w:hAnsi="Arial"/>
                <w:color w:val="1E1E1E"/>
                <w:sz w:val="18"/>
              </w:rPr>
              <w:t xml:space="preserve"> de TI / Programador</w:t>
            </w:r>
          </w:p>
        </w:tc>
        <w:tc>
          <w:tcPr>
            <w:tcW w:w="2016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4F538" w14:textId="77777777" w:rsidR="00F8697C" w:rsidRDefault="00162D20">
            <w:pPr>
              <w:jc w:val="center"/>
            </w:pPr>
            <w:r>
              <w:rPr>
                <w:rFonts w:ascii="Arial" w:hAnsi="Arial"/>
                <w:b/>
                <w:color w:val="4D1C21"/>
                <w:sz w:val="18"/>
              </w:rPr>
              <w:t>Aguardando Etapa 1 e 2</w:t>
            </w:r>
          </w:p>
        </w:tc>
      </w:tr>
      <w:tr w:rsidR="00F8697C" w14:paraId="40811314" w14:textId="77777777" w:rsidTr="00E978D1">
        <w:trPr>
          <w:jc w:val="center"/>
        </w:trPr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235F" w14:textId="77777777" w:rsidR="00F8697C" w:rsidRDefault="00162D20">
            <w:pPr>
              <w:jc w:val="center"/>
            </w:pPr>
            <w:r>
              <w:rPr>
                <w:rFonts w:ascii="Arial" w:hAnsi="Arial"/>
                <w:color w:val="1E1E1E"/>
                <w:sz w:val="18"/>
              </w:rPr>
              <w:t>4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A9FCC" w14:textId="77777777" w:rsidR="00F8697C" w:rsidRPr="00BB6660" w:rsidRDefault="00162D20">
            <w:pPr>
              <w:rPr>
                <w:lang w:val="pt-PT"/>
              </w:rPr>
            </w:pPr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Inserir as chaves no portal de administração (</w:t>
            </w:r>
            <w:proofErr w:type="spellStart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Admin</w:t>
            </w:r>
            <w:proofErr w:type="spellEnd"/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 xml:space="preserve"> → </w:t>
            </w:r>
            <w:r w:rsidRPr="00BB6660">
              <w:rPr>
                <w:rFonts w:ascii="Arial" w:hAnsi="Arial"/>
                <w:color w:val="1E1E1E"/>
                <w:sz w:val="18"/>
                <w:lang w:val="pt-PT"/>
              </w:rPr>
              <w:t>Financeiro → Configurações) e alterar os botões para ATIVADO.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15FF" w14:textId="77777777" w:rsidR="00F8697C" w:rsidRDefault="00162D20">
            <w:proofErr w:type="spellStart"/>
            <w:r>
              <w:rPr>
                <w:rFonts w:ascii="Arial" w:hAnsi="Arial"/>
                <w:color w:val="1E1E1E"/>
                <w:sz w:val="18"/>
              </w:rPr>
              <w:t>Administrador</w:t>
            </w:r>
            <w:proofErr w:type="spellEnd"/>
            <w:r>
              <w:rPr>
                <w:rFonts w:ascii="Arial" w:hAnsi="Arial"/>
                <w:color w:val="1E1E1E"/>
                <w:sz w:val="18"/>
              </w:rPr>
              <w:t xml:space="preserve"> do Portal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5BD04" w14:textId="77777777" w:rsidR="00F8697C" w:rsidRDefault="00162D20">
            <w:pPr>
              <w:jc w:val="center"/>
            </w:pPr>
            <w:r>
              <w:rPr>
                <w:rFonts w:ascii="Arial" w:hAnsi="Arial"/>
                <w:b/>
                <w:color w:val="4D1C21"/>
                <w:sz w:val="18"/>
              </w:rPr>
              <w:t>Fase Final</w:t>
            </w:r>
          </w:p>
        </w:tc>
      </w:tr>
    </w:tbl>
    <w:p w14:paraId="32C5AAD3" w14:textId="77777777" w:rsidR="00162D20" w:rsidRDefault="00162D20"/>
    <w:sectPr w:rsidR="00162D2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D20"/>
    <w:rsid w:val="0029639D"/>
    <w:rsid w:val="00297647"/>
    <w:rsid w:val="00326F90"/>
    <w:rsid w:val="00AA1D8D"/>
    <w:rsid w:val="00B47730"/>
    <w:rsid w:val="00BB6660"/>
    <w:rsid w:val="00CB0664"/>
    <w:rsid w:val="00E978D1"/>
    <w:rsid w:val="00F86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F3D820"/>
  <w14:defaultImageDpi w14:val="300"/>
  <w15:docId w15:val="{66795647-E637-480B-AF44-C52D79D30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95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8835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1F883D"/>
            <w:bottom w:val="single" w:sz="2" w:space="0" w:color="E5E7EB"/>
            <w:right w:val="single" w:sz="2" w:space="0" w:color="E5E7EB"/>
          </w:divBdr>
        </w:div>
        <w:div w:id="11958482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788945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6040068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0969DA"/>
            <w:bottom w:val="single" w:sz="2" w:space="0" w:color="E5E7EB"/>
            <w:right w:val="single" w:sz="2" w:space="0" w:color="E5E7EB"/>
          </w:divBdr>
        </w:div>
        <w:div w:id="6559117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6637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387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1F883D"/>
            <w:bottom w:val="single" w:sz="2" w:space="0" w:color="E5E7EB"/>
            <w:right w:val="single" w:sz="2" w:space="0" w:color="E5E7EB"/>
          </w:divBdr>
        </w:div>
        <w:div w:id="7755639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2268266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3182395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0969DA"/>
            <w:bottom w:val="single" w:sz="2" w:space="0" w:color="E5E7EB"/>
            <w:right w:val="single" w:sz="2" w:space="0" w:color="E5E7EB"/>
          </w:divBdr>
        </w:div>
        <w:div w:id="128735220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764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Noelson Barbosa</cp:lastModifiedBy>
  <cp:revision>4</cp:revision>
  <cp:lastPrinted>2026-05-19T12:53:00Z</cp:lastPrinted>
  <dcterms:created xsi:type="dcterms:W3CDTF">2013-12-23T23:15:00Z</dcterms:created>
  <dcterms:modified xsi:type="dcterms:W3CDTF">2026-05-19T12:57:00Z</dcterms:modified>
  <cp:category/>
</cp:coreProperties>
</file>