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36F574" w14:textId="77777777" w:rsidR="0017110C" w:rsidRPr="001E7B87" w:rsidRDefault="00FF54C2">
      <w:pPr>
        <w:spacing w:before="1000"/>
        <w:jc w:val="center"/>
        <w:rPr>
          <w:lang w:val="pt-PT"/>
        </w:rPr>
      </w:pPr>
      <w:r w:rsidRPr="001E7B87">
        <w:rPr>
          <w:rFonts w:ascii="Arial" w:hAnsi="Arial"/>
          <w:b/>
          <w:color w:val="4D1C21"/>
          <w:sz w:val="40"/>
          <w:lang w:val="pt-PT"/>
        </w:rPr>
        <w:t>ORDEM DOS ADVOGADOS DA GUINÉ-BISSAU</w:t>
      </w:r>
    </w:p>
    <w:p w14:paraId="13735629" w14:textId="77777777" w:rsidR="0017110C" w:rsidRPr="001E7B87" w:rsidRDefault="00FF54C2">
      <w:pPr>
        <w:spacing w:after="2000"/>
        <w:jc w:val="center"/>
        <w:rPr>
          <w:lang w:val="pt-PT"/>
        </w:rPr>
      </w:pPr>
      <w:r w:rsidRPr="001E7B87">
        <w:rPr>
          <w:rFonts w:ascii="Arial" w:hAnsi="Arial"/>
          <w:color w:val="B1A276"/>
          <w:sz w:val="28"/>
          <w:lang w:val="pt-PT"/>
        </w:rPr>
        <w:t>Guia de Ativação de Pagamentos Online, Taxas &amp; Modelos de Ofício</w:t>
      </w:r>
    </w:p>
    <w:p w14:paraId="4ABD0F7A" w14:textId="77777777" w:rsidR="0017110C" w:rsidRPr="001E7B87" w:rsidRDefault="00FF54C2">
      <w:pPr>
        <w:spacing w:after="400"/>
        <w:jc w:val="center"/>
        <w:rPr>
          <w:lang w:val="pt-PT"/>
        </w:rPr>
      </w:pPr>
      <w:r w:rsidRPr="001E7B87">
        <w:rPr>
          <w:i/>
          <w:color w:val="787878"/>
          <w:sz w:val="20"/>
          <w:lang w:val="pt-PT"/>
        </w:rPr>
        <w:t>Destinatário: Conselho Nacional &amp; Direção Financeira da OAGB</w:t>
      </w:r>
      <w:r w:rsidRPr="001E7B87">
        <w:rPr>
          <w:i/>
          <w:color w:val="787878"/>
          <w:sz w:val="20"/>
          <w:lang w:val="pt-PT"/>
        </w:rPr>
        <w:br/>
        <w:t>Data: Maio de 2026</w:t>
      </w:r>
      <w:r w:rsidRPr="001E7B87">
        <w:rPr>
          <w:i/>
          <w:color w:val="787878"/>
          <w:sz w:val="20"/>
          <w:lang w:val="pt-PT"/>
        </w:rPr>
        <w:br/>
        <w:t>Versão: 1.1 (Atualizada com Custos e Taxas)</w:t>
      </w:r>
    </w:p>
    <w:p w14:paraId="52079815" w14:textId="77777777" w:rsidR="0017110C" w:rsidRPr="001E7B87" w:rsidRDefault="00FF54C2">
      <w:pPr>
        <w:rPr>
          <w:lang w:val="pt-PT"/>
        </w:rPr>
      </w:pPr>
      <w:r w:rsidRPr="001E7B87">
        <w:rPr>
          <w:lang w:val="pt-PT"/>
        </w:rPr>
        <w:br w:type="page"/>
      </w:r>
    </w:p>
    <w:p w14:paraId="08623287" w14:textId="77777777" w:rsidR="0017110C" w:rsidRPr="001E7B87" w:rsidRDefault="00FF54C2">
      <w:pPr>
        <w:keepNext/>
        <w:spacing w:before="280" w:after="120"/>
        <w:rPr>
          <w:lang w:val="pt-PT"/>
        </w:rPr>
      </w:pPr>
      <w:r w:rsidRPr="001E7B87">
        <w:rPr>
          <w:rFonts w:ascii="Arial" w:hAnsi="Arial"/>
          <w:b/>
          <w:color w:val="4D1C21"/>
          <w:sz w:val="36"/>
          <w:lang w:val="pt-PT"/>
        </w:rPr>
        <w:lastRenderedPageBreak/>
        <w:t xml:space="preserve">PARTE 1: GUIA DE </w:t>
      </w:r>
      <w:r w:rsidRPr="001E7B87">
        <w:rPr>
          <w:rFonts w:ascii="Arial" w:hAnsi="Arial"/>
          <w:b/>
          <w:color w:val="4D1C21"/>
          <w:sz w:val="36"/>
          <w:lang w:val="pt-PT"/>
        </w:rPr>
        <w:t>IMPLEMENTAÇÃO E ATIVAÇÃO</w:t>
      </w:r>
    </w:p>
    <w:p w14:paraId="3A3910CD" w14:textId="77777777" w:rsidR="0017110C" w:rsidRPr="001E7B87" w:rsidRDefault="00FF54C2">
      <w:pPr>
        <w:spacing w:after="120"/>
        <w:rPr>
          <w:lang w:val="pt-PT"/>
        </w:rPr>
      </w:pPr>
      <w:r w:rsidRPr="001E7B87">
        <w:rPr>
          <w:rFonts w:ascii="Arial" w:hAnsi="Arial"/>
          <w:color w:val="1E1E1E"/>
          <w:lang w:val="pt-PT"/>
        </w:rPr>
        <w:t xml:space="preserve">Este documento serve para apoiar as ações comerciais, burocráticas e administrativas da Ordem dos Advogados da Guiné-Bissau (OAGB) na transição dos pagamentos online do portal institucional do modo de simulação para o modo real de </w:t>
      </w:r>
      <w:r w:rsidRPr="001E7B87">
        <w:rPr>
          <w:rFonts w:ascii="Arial" w:hAnsi="Arial"/>
          <w:color w:val="1E1E1E"/>
          <w:lang w:val="pt-PT"/>
        </w:rPr>
        <w:t>cobrança.</w:t>
      </w:r>
    </w:p>
    <w:p w14:paraId="3A46654F" w14:textId="77777777" w:rsidR="0017110C" w:rsidRPr="001E7B87" w:rsidRDefault="00FF54C2">
      <w:pPr>
        <w:keepNext/>
        <w:spacing w:before="280" w:after="120"/>
        <w:rPr>
          <w:lang w:val="pt-PT"/>
        </w:rPr>
      </w:pPr>
      <w:r w:rsidRPr="001E7B87">
        <w:rPr>
          <w:rFonts w:ascii="Arial" w:hAnsi="Arial"/>
          <w:b/>
          <w:color w:val="4D1C21"/>
          <w:sz w:val="26"/>
          <w:lang w:val="pt-PT"/>
        </w:rPr>
        <w:t>1. A Tecnologia USSD Push (Inline Checkout)</w:t>
      </w:r>
    </w:p>
    <w:p w14:paraId="39A96390" w14:textId="77777777" w:rsidR="0017110C" w:rsidRPr="001E7B87" w:rsidRDefault="00FF54C2">
      <w:pPr>
        <w:spacing w:after="120"/>
        <w:rPr>
          <w:lang w:val="pt-PT"/>
        </w:rPr>
      </w:pPr>
      <w:r w:rsidRPr="001E7B87">
        <w:rPr>
          <w:rFonts w:ascii="Arial" w:hAnsi="Arial"/>
          <w:color w:val="1E1E1E"/>
          <w:lang w:val="pt-PT"/>
        </w:rPr>
        <w:t>A tecnologia implementada no portal é o padrão de excelência (Gold Standard) para pagamentos na África Ocidental, conhecido como USSD Push (ou Request-to-Pay). Trata-se de uma experiência de checkout in</w:t>
      </w:r>
      <w:r w:rsidRPr="001E7B87">
        <w:rPr>
          <w:rFonts w:ascii="Arial" w:hAnsi="Arial"/>
          <w:color w:val="1E1E1E"/>
          <w:lang w:val="pt-PT"/>
        </w:rPr>
        <w:t>line de alta conversão:</w:t>
      </w:r>
      <w:r w:rsidRPr="001E7B87">
        <w:rPr>
          <w:rFonts w:ascii="Arial" w:hAnsi="Arial"/>
          <w:color w:val="1E1E1E"/>
          <w:lang w:val="pt-PT"/>
        </w:rPr>
        <w:br/>
        <w:t>1. O utilizador digita o número de telemóvel no formulário da OAGB e clica em Pagar.</w:t>
      </w:r>
      <w:r w:rsidRPr="001E7B87">
        <w:rPr>
          <w:rFonts w:ascii="Arial" w:hAnsi="Arial"/>
          <w:color w:val="1E1E1E"/>
          <w:lang w:val="pt-PT"/>
        </w:rPr>
        <w:br/>
        <w:t>2. Sem sair da página da OAGB, um popup automático do operador móvel é enviado diretamente para o ecrã do telemóvel do cliente.</w:t>
      </w:r>
      <w:r w:rsidRPr="001E7B87">
        <w:rPr>
          <w:rFonts w:ascii="Arial" w:hAnsi="Arial"/>
          <w:color w:val="1E1E1E"/>
          <w:lang w:val="pt-PT"/>
        </w:rPr>
        <w:br/>
        <w:t>3. O cliente introd</w:t>
      </w:r>
      <w:r w:rsidRPr="001E7B87">
        <w:rPr>
          <w:rFonts w:ascii="Arial" w:hAnsi="Arial"/>
          <w:color w:val="1E1E1E"/>
          <w:lang w:val="pt-PT"/>
        </w:rPr>
        <w:t>uz o seu PIN de segurança no telemóvel pessoal.</w:t>
      </w:r>
      <w:r w:rsidRPr="001E7B87">
        <w:rPr>
          <w:rFonts w:ascii="Arial" w:hAnsi="Arial"/>
          <w:color w:val="1E1E1E"/>
          <w:lang w:val="pt-PT"/>
        </w:rPr>
        <w:br/>
        <w:t>4. A transação é aprovada e a base de dados do portal OAGB atualiza-se em tempo real em menos de 10 segundos, emitindo o recibo digital.</w:t>
      </w:r>
    </w:p>
    <w:p w14:paraId="325D5950" w14:textId="77777777" w:rsidR="0017110C" w:rsidRPr="001E7B87" w:rsidRDefault="00FF54C2">
      <w:pPr>
        <w:keepNext/>
        <w:spacing w:before="280" w:after="120"/>
        <w:rPr>
          <w:lang w:val="pt-PT"/>
        </w:rPr>
      </w:pPr>
      <w:r w:rsidRPr="001E7B87">
        <w:rPr>
          <w:rFonts w:ascii="Arial" w:hAnsi="Arial"/>
          <w:b/>
          <w:color w:val="4D1C21"/>
          <w:sz w:val="26"/>
          <w:lang w:val="pt-PT"/>
        </w:rPr>
        <w:t>2. Contratos Comerciais Recomendados</w:t>
      </w:r>
    </w:p>
    <w:p w14:paraId="42382F46" w14:textId="77777777" w:rsidR="0017110C" w:rsidRPr="001E7B87" w:rsidRDefault="00FF54C2">
      <w:pPr>
        <w:spacing w:after="120"/>
        <w:rPr>
          <w:lang w:val="pt-PT"/>
        </w:rPr>
      </w:pPr>
      <w:r w:rsidRPr="001E7B87">
        <w:rPr>
          <w:rFonts w:ascii="Arial" w:hAnsi="Arial"/>
          <w:color w:val="1E1E1E"/>
          <w:lang w:val="pt-PT"/>
        </w:rPr>
        <w:t>Para ativar os pagamentos móveis e</w:t>
      </w:r>
      <w:r w:rsidRPr="001E7B87">
        <w:rPr>
          <w:rFonts w:ascii="Arial" w:hAnsi="Arial"/>
          <w:color w:val="1E1E1E"/>
          <w:lang w:val="pt-PT"/>
        </w:rPr>
        <w:t>m ambiente de produção real, a OAGB deve solicitar por escrito à Orange Bissau e à MTN Guiné-Bissau as credenciais de produção para a integração dos seus sistemas.</w:t>
      </w:r>
    </w:p>
    <w:p w14:paraId="007A68C6" w14:textId="77777777" w:rsidR="0017110C" w:rsidRPr="001E7B87" w:rsidRDefault="00FF54C2">
      <w:pPr>
        <w:spacing w:after="120"/>
        <w:rPr>
          <w:lang w:val="pt-PT"/>
        </w:rPr>
      </w:pPr>
      <w:r w:rsidRPr="001E7B87">
        <w:rPr>
          <w:rFonts w:ascii="Arial" w:hAnsi="Arial"/>
          <w:color w:val="1E1E1E"/>
          <w:lang w:val="pt-PT"/>
        </w:rPr>
        <w:t>Alternativamente, a OAGB pode estabelecer um único contrato com um Gateway de Pagamento Regi</w:t>
      </w:r>
      <w:r w:rsidRPr="001E7B87">
        <w:rPr>
          <w:rFonts w:ascii="Arial" w:hAnsi="Arial"/>
          <w:color w:val="1E1E1E"/>
          <w:lang w:val="pt-PT"/>
        </w:rPr>
        <w:t>onal da zona UEMOA (como o FedaPay ou CinetPay) para processar simultaneamente Cartões de Crédito (VISA/Mastercard) e carteiras móveis locais. O gateway regional acumula os saldos de forma centralizada e efetua transferências bancárias periódicas diretamen</w:t>
      </w:r>
      <w:r w:rsidRPr="001E7B87">
        <w:rPr>
          <w:rFonts w:ascii="Arial" w:hAnsi="Arial"/>
          <w:color w:val="1E1E1E"/>
          <w:lang w:val="pt-PT"/>
        </w:rPr>
        <w:t>te para o IBAN oficial da OAGB na Guiné-Bissau.</w:t>
      </w:r>
    </w:p>
    <w:p w14:paraId="73122D52" w14:textId="77777777" w:rsidR="0017110C" w:rsidRPr="001E7B87" w:rsidRDefault="00FF54C2">
      <w:pPr>
        <w:keepNext/>
        <w:spacing w:before="280" w:after="120"/>
        <w:rPr>
          <w:lang w:val="pt-PT"/>
        </w:rPr>
      </w:pPr>
      <w:r w:rsidRPr="001E7B87">
        <w:rPr>
          <w:rFonts w:ascii="Arial" w:hAnsi="Arial"/>
          <w:b/>
          <w:color w:val="4D1C21"/>
          <w:sz w:val="26"/>
          <w:lang w:val="pt-PT"/>
        </w:rPr>
        <w:t>3. Custos e Taxas de Operação dos Gateways</w:t>
      </w:r>
    </w:p>
    <w:p w14:paraId="1B61A83D" w14:textId="77777777" w:rsidR="0017110C" w:rsidRPr="001E7B87" w:rsidRDefault="00FF54C2">
      <w:pPr>
        <w:spacing w:after="120"/>
        <w:rPr>
          <w:lang w:val="pt-PT"/>
        </w:rPr>
      </w:pPr>
      <w:r w:rsidRPr="001E7B87">
        <w:rPr>
          <w:rFonts w:ascii="Arial" w:hAnsi="Arial"/>
          <w:color w:val="1E1E1E"/>
          <w:lang w:val="pt-PT"/>
        </w:rPr>
        <w:t>Os gateways regionais operam sob um modelo estritamente baseado no volume transacionado (Pay-as-you-go). Não existem mensalidades fixas nem taxas de abertura de cont</w:t>
      </w:r>
      <w:r w:rsidRPr="001E7B87">
        <w:rPr>
          <w:rFonts w:ascii="Arial" w:hAnsi="Arial"/>
          <w:color w:val="1E1E1E"/>
          <w:lang w:val="pt-PT"/>
        </w:rPr>
        <w:t>a. Os custos detalhados de mercado para a zona UEMOA (XOF) são: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17110C" w14:paraId="418E0553" w14:textId="77777777" w:rsidTr="001E7B87">
        <w:trPr>
          <w:jc w:val="center"/>
        </w:trPr>
        <w:tc>
          <w:tcPr>
            <w:tcW w:w="3600" w:type="dxa"/>
            <w:shd w:val="clear" w:color="auto" w:fill="4D1C2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7FFE83" w14:textId="77777777" w:rsidR="0017110C" w:rsidRDefault="00FF54C2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Canal de Pagamento</w:t>
            </w:r>
          </w:p>
        </w:tc>
        <w:tc>
          <w:tcPr>
            <w:tcW w:w="2880" w:type="dxa"/>
            <w:shd w:val="clear" w:color="auto" w:fill="4D1C2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538C9B" w14:textId="77777777" w:rsidR="0017110C" w:rsidRDefault="00FF54C2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FedaPay</w:t>
            </w:r>
          </w:p>
        </w:tc>
        <w:tc>
          <w:tcPr>
            <w:tcW w:w="2880" w:type="dxa"/>
            <w:shd w:val="clear" w:color="auto" w:fill="4D1C2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5E5D0" w14:textId="77777777" w:rsidR="0017110C" w:rsidRDefault="00FF54C2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CinetPay</w:t>
            </w:r>
          </w:p>
        </w:tc>
      </w:tr>
      <w:tr w:rsidR="0017110C" w14:paraId="102B2A90" w14:textId="77777777" w:rsidTr="001E7B87">
        <w:trPr>
          <w:jc w:val="center"/>
        </w:trPr>
        <w:tc>
          <w:tcPr>
            <w:tcW w:w="3600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F13CD" w14:textId="77777777" w:rsidR="0017110C" w:rsidRDefault="00FF54C2">
            <w:r>
              <w:rPr>
                <w:rFonts w:ascii="Arial" w:hAnsi="Arial"/>
                <w:b/>
                <w:color w:val="1E1E1E"/>
                <w:sz w:val="20"/>
              </w:rPr>
              <w:t>Carteiras Móveis (Orange / MTN)</w:t>
            </w:r>
          </w:p>
        </w:tc>
        <w:tc>
          <w:tcPr>
            <w:tcW w:w="2880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7605C" w14:textId="77777777" w:rsidR="0017110C" w:rsidRDefault="00FF54C2">
            <w:pPr>
              <w:jc w:val="center"/>
            </w:pPr>
            <w:r>
              <w:rPr>
                <w:rFonts w:ascii="Arial" w:hAnsi="Arial"/>
                <w:color w:val="1E1E1E"/>
                <w:sz w:val="20"/>
              </w:rPr>
              <w:t>~ 3,0% a 3,5% por transação</w:t>
            </w:r>
          </w:p>
        </w:tc>
        <w:tc>
          <w:tcPr>
            <w:tcW w:w="2880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88ECC" w14:textId="77777777" w:rsidR="0017110C" w:rsidRDefault="00FF54C2">
            <w:pPr>
              <w:jc w:val="center"/>
            </w:pPr>
            <w:r>
              <w:rPr>
                <w:rFonts w:ascii="Arial" w:hAnsi="Arial"/>
                <w:color w:val="1E1E1E"/>
                <w:sz w:val="20"/>
              </w:rPr>
              <w:t>~ 3,3% a 3,5% por transação</w:t>
            </w:r>
          </w:p>
        </w:tc>
      </w:tr>
      <w:tr w:rsidR="0017110C" w14:paraId="2CEDF55C" w14:textId="77777777" w:rsidTr="001E7B87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C92ED" w14:textId="77777777" w:rsidR="0017110C" w:rsidRPr="001E7B87" w:rsidRDefault="00FF54C2">
            <w:pPr>
              <w:rPr>
                <w:lang w:val="pt-PT"/>
              </w:rPr>
            </w:pPr>
            <w:r w:rsidRPr="001E7B87">
              <w:rPr>
                <w:rFonts w:ascii="Arial" w:hAnsi="Arial"/>
                <w:b/>
                <w:color w:val="1E1E1E"/>
                <w:sz w:val="20"/>
                <w:lang w:val="pt-PT"/>
              </w:rPr>
              <w:t>Cartões de Crédito (VISA / Mastercard)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D8C46" w14:textId="77777777" w:rsidR="0017110C" w:rsidRDefault="00FF54C2">
            <w:pPr>
              <w:jc w:val="center"/>
            </w:pPr>
            <w:r>
              <w:rPr>
                <w:rFonts w:ascii="Arial" w:hAnsi="Arial"/>
                <w:color w:val="1E1E1E"/>
                <w:sz w:val="20"/>
              </w:rPr>
              <w:t xml:space="preserve">~ 3,5% a 3,8% por </w:t>
            </w:r>
            <w:r>
              <w:rPr>
                <w:rFonts w:ascii="Arial" w:hAnsi="Arial"/>
                <w:color w:val="1E1E1E"/>
                <w:sz w:val="20"/>
              </w:rPr>
              <w:t>transação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B5523" w14:textId="77777777" w:rsidR="0017110C" w:rsidRDefault="00FF54C2">
            <w:pPr>
              <w:jc w:val="center"/>
            </w:pPr>
            <w:r>
              <w:rPr>
                <w:rFonts w:ascii="Arial" w:hAnsi="Arial"/>
                <w:color w:val="1E1E1E"/>
                <w:sz w:val="20"/>
              </w:rPr>
              <w:t>~ 3,5% a 3,8% por transação</w:t>
            </w:r>
          </w:p>
        </w:tc>
      </w:tr>
      <w:tr w:rsidR="0017110C" w:rsidRPr="001E7B87" w14:paraId="639610F6" w14:textId="77777777" w:rsidTr="001E7B87">
        <w:trPr>
          <w:jc w:val="center"/>
        </w:trPr>
        <w:tc>
          <w:tcPr>
            <w:tcW w:w="3600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A9580" w14:textId="77777777" w:rsidR="0017110C" w:rsidRPr="001E7B87" w:rsidRDefault="00FF54C2">
            <w:pPr>
              <w:rPr>
                <w:lang w:val="pt-PT"/>
              </w:rPr>
            </w:pPr>
            <w:r w:rsidRPr="001E7B87">
              <w:rPr>
                <w:rFonts w:ascii="Arial" w:hAnsi="Arial"/>
                <w:b/>
                <w:color w:val="1E1E1E"/>
                <w:sz w:val="20"/>
                <w:lang w:val="pt-PT"/>
              </w:rPr>
              <w:lastRenderedPageBreak/>
              <w:t>Transferência p/ Conta Local (IBAN)</w:t>
            </w:r>
          </w:p>
        </w:tc>
        <w:tc>
          <w:tcPr>
            <w:tcW w:w="2880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6297E" w14:textId="77777777" w:rsidR="0017110C" w:rsidRPr="001E7B87" w:rsidRDefault="00FF54C2">
            <w:pPr>
              <w:jc w:val="center"/>
              <w:rPr>
                <w:lang w:val="pt-PT"/>
              </w:rPr>
            </w:pPr>
            <w:r w:rsidRPr="001E7B87">
              <w:rPr>
                <w:rFonts w:ascii="Arial" w:hAnsi="Arial"/>
                <w:color w:val="1E1E1E"/>
                <w:sz w:val="20"/>
                <w:lang w:val="pt-PT"/>
              </w:rPr>
              <w:t>Grátis (ou taxa fixa irrisória)</w:t>
            </w:r>
          </w:p>
        </w:tc>
        <w:tc>
          <w:tcPr>
            <w:tcW w:w="2880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28005" w14:textId="77777777" w:rsidR="0017110C" w:rsidRPr="001E7B87" w:rsidRDefault="00FF54C2">
            <w:pPr>
              <w:jc w:val="center"/>
              <w:rPr>
                <w:lang w:val="pt-PT"/>
              </w:rPr>
            </w:pPr>
            <w:r w:rsidRPr="001E7B87">
              <w:rPr>
                <w:rFonts w:ascii="Arial" w:hAnsi="Arial"/>
                <w:color w:val="1E1E1E"/>
                <w:sz w:val="20"/>
                <w:lang w:val="pt-PT"/>
              </w:rPr>
              <w:t>Grátis (ou taxa fixa irrisória)</w:t>
            </w:r>
          </w:p>
        </w:tc>
      </w:tr>
    </w:tbl>
    <w:p w14:paraId="0F15A2B5" w14:textId="77777777" w:rsidR="0017110C" w:rsidRPr="001E7B87" w:rsidRDefault="0017110C">
      <w:pPr>
        <w:spacing w:before="160"/>
        <w:rPr>
          <w:lang w:val="pt-PT"/>
        </w:rPr>
      </w:pPr>
    </w:p>
    <w:p w14:paraId="4C0FBE76" w14:textId="77777777" w:rsidR="0017110C" w:rsidRPr="001E7B87" w:rsidRDefault="00FF54C2">
      <w:pPr>
        <w:keepNext/>
        <w:spacing w:before="280" w:after="120"/>
        <w:rPr>
          <w:lang w:val="pt-PT"/>
        </w:rPr>
      </w:pPr>
      <w:r w:rsidRPr="001E7B87">
        <w:rPr>
          <w:rFonts w:ascii="Arial" w:hAnsi="Arial"/>
          <w:b/>
          <w:color w:val="B1A276"/>
          <w:lang w:val="pt-PT"/>
        </w:rPr>
        <w:t>Opções de Gestão de Taxas para a OAGB:</w:t>
      </w:r>
    </w:p>
    <w:p w14:paraId="130AA45D" w14:textId="77777777" w:rsidR="0017110C" w:rsidRPr="001E7B87" w:rsidRDefault="00FF54C2">
      <w:pPr>
        <w:spacing w:after="120"/>
        <w:rPr>
          <w:lang w:val="pt-PT"/>
        </w:rPr>
      </w:pPr>
      <w:r w:rsidRPr="001E7B87">
        <w:rPr>
          <w:rFonts w:ascii="Arial" w:hAnsi="Arial"/>
          <w:color w:val="1E1E1E"/>
          <w:lang w:val="pt-PT"/>
        </w:rPr>
        <w:t xml:space="preserve">1. Absorção Operacional: A OAGB assume a comissão como um custo de </w:t>
      </w:r>
      <w:r w:rsidRPr="001E7B87">
        <w:rPr>
          <w:rFonts w:ascii="Arial" w:hAnsi="Arial"/>
          <w:color w:val="1E1E1E"/>
          <w:lang w:val="pt-PT"/>
        </w:rPr>
        <w:t>conveniência de tesouraria (reduz filas, manuseamento de numerário físico, e automatiza a conciliação bancária).</w:t>
      </w:r>
      <w:r w:rsidRPr="001E7B87">
        <w:rPr>
          <w:rFonts w:ascii="Arial" w:hAnsi="Arial"/>
          <w:color w:val="1E1E1E"/>
          <w:lang w:val="pt-PT"/>
        </w:rPr>
        <w:br/>
        <w:t>2. Taxa de Conveniência (Surcharge): O portal calcula e adiciona automaticamente o valor da taxa (ex: +3,5%) ao valor final da fatura apenas qu</w:t>
      </w:r>
      <w:r w:rsidRPr="001E7B87">
        <w:rPr>
          <w:rFonts w:ascii="Arial" w:hAnsi="Arial"/>
          <w:color w:val="1E1E1E"/>
          <w:lang w:val="pt-PT"/>
        </w:rPr>
        <w:t>ando o advogado escolhe a comodidade do pagamento online, mantendo o valor original para pagamentos presenciais na Sede.</w:t>
      </w:r>
    </w:p>
    <w:p w14:paraId="1A50420E" w14:textId="77777777" w:rsidR="0017110C" w:rsidRPr="001E7B87" w:rsidRDefault="00FF54C2">
      <w:pPr>
        <w:rPr>
          <w:lang w:val="pt-PT"/>
        </w:rPr>
      </w:pPr>
      <w:r w:rsidRPr="001E7B87">
        <w:rPr>
          <w:lang w:val="pt-PT"/>
        </w:rPr>
        <w:br w:type="page"/>
      </w:r>
    </w:p>
    <w:p w14:paraId="1402C464" w14:textId="77777777" w:rsidR="0017110C" w:rsidRPr="001E7B87" w:rsidRDefault="00FF54C2">
      <w:pPr>
        <w:keepNext/>
        <w:spacing w:before="280" w:after="120"/>
        <w:rPr>
          <w:lang w:val="pt-PT"/>
        </w:rPr>
      </w:pPr>
      <w:r w:rsidRPr="001E7B87">
        <w:rPr>
          <w:rFonts w:ascii="Arial" w:hAnsi="Arial"/>
          <w:b/>
          <w:color w:val="4D1C21"/>
          <w:sz w:val="36"/>
          <w:lang w:val="pt-PT"/>
        </w:rPr>
        <w:lastRenderedPageBreak/>
        <w:t>PARTE 2: MODELOS DE OFÍCIO OFICIAS</w:t>
      </w:r>
    </w:p>
    <w:p w14:paraId="4934F7BC" w14:textId="77777777" w:rsidR="0017110C" w:rsidRPr="001E7B87" w:rsidRDefault="00FF54C2">
      <w:pPr>
        <w:spacing w:after="120"/>
        <w:rPr>
          <w:lang w:val="pt-PT"/>
        </w:rPr>
      </w:pPr>
      <w:r w:rsidRPr="001E7B87">
        <w:rPr>
          <w:rFonts w:ascii="Arial" w:hAnsi="Arial"/>
          <w:color w:val="1E1E1E"/>
          <w:lang w:val="pt-PT"/>
        </w:rPr>
        <w:t xml:space="preserve">Os modelos abaixo devem ser impressos em papel timbrado oficial da Ordem dos Advogados da </w:t>
      </w:r>
      <w:r w:rsidRPr="001E7B87">
        <w:rPr>
          <w:rFonts w:ascii="Arial" w:hAnsi="Arial"/>
          <w:color w:val="1E1E1E"/>
          <w:lang w:val="pt-PT"/>
        </w:rPr>
        <w:t>Guiné-Bissau, devidamente datados e assinados pelo Bastonário para entrega formal nas sedes das operadoras.</w:t>
      </w:r>
    </w:p>
    <w:p w14:paraId="1010C51C" w14:textId="77777777" w:rsidR="0017110C" w:rsidRPr="001E7B87" w:rsidRDefault="00FF54C2">
      <w:pPr>
        <w:keepNext/>
        <w:spacing w:before="280" w:after="120"/>
        <w:rPr>
          <w:lang w:val="pt-PT"/>
        </w:rPr>
      </w:pPr>
      <w:r w:rsidRPr="001E7B87">
        <w:rPr>
          <w:rFonts w:ascii="Arial" w:hAnsi="Arial"/>
          <w:b/>
          <w:color w:val="4D1C21"/>
          <w:sz w:val="26"/>
          <w:lang w:val="pt-PT"/>
        </w:rPr>
        <w:t>Modelo I: Ofício para a Orange Bissau (Orange Money)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7110C" w14:paraId="1E369E25" w14:textId="77777777">
        <w:tc>
          <w:tcPr>
            <w:tcW w:w="9360" w:type="dxa"/>
            <w:shd w:val="clear" w:color="auto" w:fill="FDFBF7"/>
          </w:tcPr>
          <w:p w14:paraId="6E668688" w14:textId="77777777" w:rsidR="0017110C" w:rsidRPr="001E7B87" w:rsidRDefault="00FF54C2">
            <w:pPr>
              <w:spacing w:after="120"/>
              <w:jc w:val="center"/>
              <w:rPr>
                <w:lang w:val="pt-PT"/>
              </w:rPr>
            </w:pP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t>ORDEM DOS ADVOGADOS DA GUINÉ-BISSAU</w:t>
            </w:r>
          </w:p>
          <w:p w14:paraId="6E43F48F" w14:textId="77777777" w:rsidR="0017110C" w:rsidRPr="001E7B87" w:rsidRDefault="00FF54C2">
            <w:pPr>
              <w:spacing w:after="120"/>
              <w:jc w:val="center"/>
              <w:rPr>
                <w:lang w:val="pt-PT"/>
              </w:rPr>
            </w:pP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t>Conselho Nacional - Direção Executiva</w:t>
            </w:r>
          </w:p>
          <w:p w14:paraId="4009F42E" w14:textId="77777777" w:rsidR="0017110C" w:rsidRPr="001E7B87" w:rsidRDefault="00FF54C2">
            <w:pPr>
              <w:spacing w:after="120"/>
              <w:jc w:val="right"/>
              <w:rPr>
                <w:lang w:val="pt-PT"/>
              </w:rPr>
            </w:pP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Bissau, ____ de _____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__________ de 2026</w:t>
            </w:r>
          </w:p>
          <w:p w14:paraId="58E967A5" w14:textId="77777777" w:rsidR="0017110C" w:rsidRPr="001E7B87" w:rsidRDefault="00FF54C2">
            <w:pPr>
              <w:spacing w:after="120"/>
              <w:rPr>
                <w:lang w:val="pt-PT"/>
              </w:rPr>
            </w:pP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br/>
              <w:t>Ao</w:t>
            </w: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br/>
              <w:t>Diretor do Departamento de Parcerias e Soluções Corporativas</w:t>
            </w: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br/>
              <w:t>Orange Bissau, S.A.</w:t>
            </w: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br/>
              <w:t>Sede Social - Bissau, Guiné-Bissau</w:t>
            </w:r>
          </w:p>
          <w:p w14:paraId="0D3A041B" w14:textId="77777777" w:rsidR="0017110C" w:rsidRPr="001E7B87" w:rsidRDefault="00FF54C2">
            <w:pPr>
              <w:spacing w:after="120"/>
              <w:rPr>
                <w:lang w:val="pt-PT"/>
              </w:rPr>
            </w:pP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br/>
              <w:t>Assunto: Solicitação de Integração de Cobrança Online (Orange Money via Merchant API / USSD Push)</w:t>
            </w:r>
          </w:p>
          <w:p w14:paraId="05BC2726" w14:textId="77777777" w:rsidR="0017110C" w:rsidRDefault="00FF54C2">
            <w:pPr>
              <w:spacing w:after="120"/>
            </w:pP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Excelentíssimo Se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nhor Diretor,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A Ordem dos Advogados da Guiné-Bissau (OAGB) encontra-se em processo de modernização e digitalização dos seus serviços de tesouraria. Neste âmbito, procedemos ao desenvolvimento do nosso novo Portal Institucional, que visa facilitar a inscri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ção digital de novos membros e o pagamento regular de joias de inscrição e quotas profissionais de forma segura e célere.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 xml:space="preserve">Considerando a ampla cobertura da rede Orange Money e a sua relevância na economia digital nacional, vimos por este meio solicitar a 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integração oficial da vossa plataforma de pagamentos no nosso portal.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Especificamente, solicitamos: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1. Abertura de uma Conta Corporativa de Comerciante (Merchant Account) associada à conta bancária oficial da OAGB;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2. Disponibilização de credenciais de pr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odução para a API de Cobranças Móveis com suporte a USSD Push (Request-to-Pay), garantindo que os nossos membros possam autorizar os pagamentos digitando o respetivo PIN no ecrã dos seus telemóveis sem sair do portal OAGB;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3. Emissão dos dados técnicos nec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essários (Client ID, Client Secret e Merchant Key) para conclusão do setup tecnológico por parte da nossa equipa de desenvolvimento.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Informamos que a interface do portal já se encontra totalmente programada e devidamente testada, necessitando unicamente d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a conexão com a vossa API real para iniciar a produção de cobranças efetivas.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lastRenderedPageBreak/>
              <w:br/>
              <w:t>Certos da vossa melhor atenção e espírito de parceria, manifestamos a nossa inteira disponibilidade para reuniões técnicas complementares e aproveitamos a oportunidade para ende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reçar os nossos melhores cumprimentos.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>
              <w:rPr>
                <w:rFonts w:ascii="Courier New" w:hAnsi="Courier New"/>
                <w:color w:val="1E1E1E"/>
                <w:sz w:val="20"/>
              </w:rPr>
              <w:t>Atenciosamente,</w:t>
            </w:r>
            <w:r>
              <w:rPr>
                <w:rFonts w:ascii="Courier New" w:hAnsi="Courier New"/>
                <w:color w:val="1E1E1E"/>
                <w:sz w:val="20"/>
              </w:rPr>
              <w:br/>
            </w:r>
            <w:r>
              <w:rPr>
                <w:rFonts w:ascii="Courier New" w:hAnsi="Courier New"/>
                <w:color w:val="1E1E1E"/>
                <w:sz w:val="20"/>
              </w:rPr>
              <w:br/>
            </w:r>
            <w:r>
              <w:rPr>
                <w:rFonts w:ascii="Courier New" w:hAnsi="Courier New"/>
                <w:color w:val="1E1E1E"/>
                <w:sz w:val="20"/>
              </w:rPr>
              <w:br/>
              <w:t>_________________________________________</w:t>
            </w:r>
            <w:r>
              <w:rPr>
                <w:rFonts w:ascii="Courier New" w:hAnsi="Courier New"/>
                <w:color w:val="1E1E1E"/>
                <w:sz w:val="20"/>
              </w:rPr>
              <w:br/>
              <w:t>Bastonário da Ordem dos Advogados da Guiné-Bissau</w:t>
            </w:r>
          </w:p>
        </w:tc>
      </w:tr>
    </w:tbl>
    <w:p w14:paraId="305DB3E7" w14:textId="77777777" w:rsidR="0017110C" w:rsidRDefault="00FF54C2">
      <w:r>
        <w:lastRenderedPageBreak/>
        <w:br w:type="page"/>
      </w:r>
    </w:p>
    <w:p w14:paraId="15CB832E" w14:textId="77777777" w:rsidR="0017110C" w:rsidRPr="001E7B87" w:rsidRDefault="00FF54C2">
      <w:pPr>
        <w:keepNext/>
        <w:spacing w:before="280" w:after="120"/>
        <w:rPr>
          <w:lang w:val="pt-PT"/>
        </w:rPr>
      </w:pPr>
      <w:r w:rsidRPr="001E7B87">
        <w:rPr>
          <w:rFonts w:ascii="Arial" w:hAnsi="Arial"/>
          <w:b/>
          <w:color w:val="4D1C21"/>
          <w:sz w:val="26"/>
          <w:lang w:val="pt-PT"/>
        </w:rPr>
        <w:lastRenderedPageBreak/>
        <w:t>Modelo II: Ofício para a MTN Guiné-Bissau (MTN MoMo)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7110C" w14:paraId="32A89BFD" w14:textId="77777777">
        <w:tc>
          <w:tcPr>
            <w:tcW w:w="9360" w:type="dxa"/>
            <w:shd w:val="clear" w:color="auto" w:fill="FDFBF7"/>
          </w:tcPr>
          <w:p w14:paraId="3B744285" w14:textId="77777777" w:rsidR="0017110C" w:rsidRPr="001E7B87" w:rsidRDefault="00FF54C2">
            <w:pPr>
              <w:spacing w:after="120"/>
              <w:jc w:val="center"/>
              <w:rPr>
                <w:lang w:val="pt-PT"/>
              </w:rPr>
            </w:pP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t>ORDEM DOS ADVOGADOS DA GUINÉ-BISSAU</w:t>
            </w:r>
          </w:p>
          <w:p w14:paraId="7628B4BE" w14:textId="77777777" w:rsidR="0017110C" w:rsidRPr="001E7B87" w:rsidRDefault="00FF54C2">
            <w:pPr>
              <w:spacing w:after="120"/>
              <w:jc w:val="center"/>
              <w:rPr>
                <w:lang w:val="pt-PT"/>
              </w:rPr>
            </w:pP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t>Conselho Nacio</w:t>
            </w: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t>nal - Direção Executiva</w:t>
            </w:r>
          </w:p>
          <w:p w14:paraId="12AAC15B" w14:textId="77777777" w:rsidR="0017110C" w:rsidRPr="001E7B87" w:rsidRDefault="00FF54C2">
            <w:pPr>
              <w:spacing w:after="120"/>
              <w:jc w:val="right"/>
              <w:rPr>
                <w:lang w:val="pt-PT"/>
              </w:rPr>
            </w:pP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Bissau, ____ de _______________ de 2026</w:t>
            </w:r>
          </w:p>
          <w:p w14:paraId="3BC87BED" w14:textId="77777777" w:rsidR="0017110C" w:rsidRPr="001E7B87" w:rsidRDefault="00FF54C2">
            <w:pPr>
              <w:spacing w:after="120"/>
              <w:rPr>
                <w:lang w:val="pt-PT"/>
              </w:rPr>
            </w:pP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br/>
              <w:t>Ao</w:t>
            </w: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br/>
              <w:t>Diretor do Departamento de Mobile Money (MoMo)</w:t>
            </w: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br/>
              <w:t>MTN Guiné-Bissau, S.A.</w:t>
            </w: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br/>
              <w:t>Sede Social - Bissau, Guiné-Bissau</w:t>
            </w:r>
          </w:p>
          <w:p w14:paraId="154711F6" w14:textId="77777777" w:rsidR="0017110C" w:rsidRPr="001E7B87" w:rsidRDefault="00FF54C2">
            <w:pPr>
              <w:spacing w:after="120"/>
              <w:rPr>
                <w:lang w:val="pt-PT"/>
              </w:rPr>
            </w:pP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br/>
              <w:t xml:space="preserve">Assunto: Solicitação de Integração de Cobrança Online (MTN MoMo Collections API / </w:t>
            </w:r>
            <w:r w:rsidRPr="001E7B87">
              <w:rPr>
                <w:rFonts w:ascii="Courier New" w:hAnsi="Courier New"/>
                <w:b/>
                <w:color w:val="1E1E1E"/>
                <w:sz w:val="20"/>
                <w:lang w:val="pt-PT"/>
              </w:rPr>
              <w:t>Request-to-Pay)</w:t>
            </w:r>
          </w:p>
          <w:p w14:paraId="6288BC31" w14:textId="77777777" w:rsidR="0017110C" w:rsidRDefault="00FF54C2">
            <w:pPr>
              <w:spacing w:after="120"/>
            </w:pP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Excelentíssimo Senhor Diretor,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A Ordem dos Advogados da Guiné-Bissau (OAGB) encontra-se em processo de modernização e digitalização dos seus serviços de tesouraria. Neste âmbito, procedemos ao desenvolvimento do nosso novo Portal Instituc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ional, que visa facilitar a inscrição digital de novos membros e o pagamento regular de joias de inscrição e quotas profissionais de forma segura e célere.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Considerando a ampla cobertura da rede MTN Mobile Money e o seu papel de relevo na inclusão finance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ira digital no país, vimos por este meio solicitar a integração oficial da vossa plataforma de pagamentos no nosso portal.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Especificamente, solicitamos: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1. Abertura de uma Conta Corporativa de Comerciante (Merchant Account) associada à conta bancária ofic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ial da OAGB;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2. Subscrição da API de Collections em ambiente de produção real, viabilizando o fluxo de 'Request-to-Pay' (pedido de autorização e inserção do PIN diretamente no telemóvel do cliente);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3. Emissão e disponibilização técnica das respetivas chav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es de acesso (Subscription Key, API User e API Key) para que a nossa equipa de engenharia de software conclua a ligação.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Salientamos que a infraestrutura e a interface visual do portal OAGB já se encontram totalmente prontas e devidamente validadas, neces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sitando unicamente da libertação do acesso em produção por parte da MTN MoMo para disponibilizarmos as cobranças digitais em ambiente real aos nossos advogados.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  <w:t>Na expetativa de uma resposta favorável e da assinatura da respetiva parceria institucional, a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t>proveitamos a oportunidade para endereçar os nossos melhores cumprimentos.</w:t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 w:rsidRPr="001E7B87">
              <w:rPr>
                <w:rFonts w:ascii="Courier New" w:hAnsi="Courier New"/>
                <w:color w:val="1E1E1E"/>
                <w:sz w:val="20"/>
                <w:lang w:val="pt-PT"/>
              </w:rPr>
              <w:br/>
            </w:r>
            <w:r>
              <w:rPr>
                <w:rFonts w:ascii="Courier New" w:hAnsi="Courier New"/>
                <w:color w:val="1E1E1E"/>
                <w:sz w:val="20"/>
              </w:rPr>
              <w:t>Atenciosamente,</w:t>
            </w:r>
            <w:r>
              <w:rPr>
                <w:rFonts w:ascii="Courier New" w:hAnsi="Courier New"/>
                <w:color w:val="1E1E1E"/>
                <w:sz w:val="20"/>
              </w:rPr>
              <w:br/>
            </w:r>
            <w:r>
              <w:rPr>
                <w:rFonts w:ascii="Courier New" w:hAnsi="Courier New"/>
                <w:color w:val="1E1E1E"/>
                <w:sz w:val="20"/>
              </w:rPr>
              <w:lastRenderedPageBreak/>
              <w:br/>
            </w:r>
            <w:r>
              <w:rPr>
                <w:rFonts w:ascii="Courier New" w:hAnsi="Courier New"/>
                <w:color w:val="1E1E1E"/>
                <w:sz w:val="20"/>
              </w:rPr>
              <w:br/>
              <w:t>_________________________________________</w:t>
            </w:r>
            <w:r>
              <w:rPr>
                <w:rFonts w:ascii="Courier New" w:hAnsi="Courier New"/>
                <w:color w:val="1E1E1E"/>
                <w:sz w:val="20"/>
              </w:rPr>
              <w:br/>
              <w:t>Bastonário da Ordem dos Advogados da Guiné-Bissau</w:t>
            </w:r>
          </w:p>
        </w:tc>
      </w:tr>
    </w:tbl>
    <w:p w14:paraId="0974F9E0" w14:textId="77777777" w:rsidR="00FF54C2" w:rsidRDefault="00FF54C2"/>
    <w:sectPr w:rsidR="00FF54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10C"/>
    <w:rsid w:val="001E7B87"/>
    <w:rsid w:val="0029639D"/>
    <w:rsid w:val="00326F90"/>
    <w:rsid w:val="00AA1D8D"/>
    <w:rsid w:val="00B47730"/>
    <w:rsid w:val="00CB0664"/>
    <w:rsid w:val="00FC693F"/>
    <w:rsid w:val="00FF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6B1EC"/>
  <w14:defaultImageDpi w14:val="300"/>
  <w15:docId w15:val="{5450BDFE-270E-4998-958C-C3D9C936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1143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Noelson Barbosa</cp:lastModifiedBy>
  <cp:revision>2</cp:revision>
  <dcterms:created xsi:type="dcterms:W3CDTF">2013-12-23T23:15:00Z</dcterms:created>
  <dcterms:modified xsi:type="dcterms:W3CDTF">2026-05-19T12:38:00Z</dcterms:modified>
  <cp:category/>
</cp:coreProperties>
</file>