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Arial" w:hAnsi="Arial"/>
          <w:b/>
          <w:color w:val="4D1C21"/>
          <w:sz w:val="40"/>
        </w:rPr>
        <w:t>Guia de Transição: Pagamento Simulado para Pagamento Real (OAGB)</w:t>
      </w:r>
    </w:p>
    <w:p>
      <w:pPr>
        <w:spacing w:after="120" w:line="276" w:lineRule="auto"/>
      </w:pPr>
      <w:r>
        <w:rPr>
          <w:rFonts w:ascii="Arial" w:hAnsi="Arial"/>
          <w:color w:val="1E1E1E"/>
          <w:sz w:val="22"/>
        </w:rPr>
        <w:t xml:space="preserve">Este guia descreve os passos técnicos, a arquitetura de código e as recomendações para transitar do </w:t>
      </w:r>
      <w:r>
        <w:rPr>
          <w:rFonts w:ascii="Arial" w:hAnsi="Arial"/>
          <w:b/>
          <w:color w:val="1E1E1E"/>
          <w:sz w:val="22"/>
        </w:rPr>
        <w:t>modo de simulação interativo</w:t>
      </w:r>
      <w:r>
        <w:rPr>
          <w:rFonts w:ascii="Arial" w:hAnsi="Arial"/>
          <w:color w:val="1E1E1E"/>
          <w:sz w:val="22"/>
        </w:rPr>
        <w:t xml:space="preserve"> (atual) para o processamento de </w:t>
      </w:r>
      <w:r>
        <w:rPr>
          <w:rFonts w:ascii="Arial" w:hAnsi="Arial"/>
          <w:b/>
          <w:color w:val="1E1E1E"/>
          <w:sz w:val="22"/>
        </w:rPr>
        <w:t>transações reais</w:t>
      </w:r>
      <w:r>
        <w:rPr>
          <w:rFonts w:ascii="Arial" w:hAnsi="Arial"/>
          <w:color w:val="1E1E1E"/>
          <w:sz w:val="22"/>
        </w:rPr>
        <w:t xml:space="preserve"> nas inscrições da Ordem dos Advogados da Guiné-Bissau.</w:t>
      </w:r>
    </w:p>
    <w:p>
      <w:pPr>
        <w:spacing w:before="120" w:after="120"/>
      </w:pPr>
      <w:r>
        <w:rPr>
          <w:color w:val="DCDCDC"/>
        </w:rPr>
        <w:t>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color w:val="4D1C21"/>
          <w:sz w:val="28"/>
        </w:rPr>
        <w:t>1. Arquitetura Atual (Segurança &amp; Transição)</w:t>
      </w:r>
    </w:p>
    <w:p>
      <w:pPr>
        <w:spacing w:after="120" w:line="276" w:lineRule="auto"/>
      </w:pPr>
      <w:r>
        <w:rPr>
          <w:rFonts w:ascii="Arial" w:hAnsi="Arial"/>
          <w:color w:val="1E1E1E"/>
          <w:sz w:val="22"/>
        </w:rPr>
        <w:t xml:space="preserve">O portal está atualmente equipado com uma arquitetura de pagamento em duas camadas que simula o fluxo completo no frontend para o utilizador, mas realiza a </w:t>
      </w:r>
      <w:r>
        <w:rPr>
          <w:rFonts w:ascii="Arial" w:hAnsi="Arial"/>
          <w:b/>
          <w:color w:val="1E1E1E"/>
          <w:sz w:val="22"/>
        </w:rPr>
        <w:t>persistência auditável na base de dados</w:t>
      </w:r>
      <w:r>
        <w:rPr>
          <w:rFonts w:ascii="Arial" w:hAnsi="Arial"/>
          <w:color w:val="1E1E1E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323232"/>
                <w:sz w:val="19"/>
              </w:rPr>
              <w:t>sequenceDiagram</w:t>
              <w:br/>
              <w:t xml:space="preserve">    participant U as Candidato (Frontend)</w:t>
              <w:br/>
              <w:t xml:space="preserve">    participant B as processar_pagamento_local.php</w:t>
              <w:br/>
              <w:t xml:space="preserve">    participant DB as Base de Dados (MySQL)</w:t>
              <w:br/>
              <w:t xml:space="preserve">    </w:t>
              <w:br/>
              <w:t xml:space="preserve">    U-&gt;&gt;U: Preenche dados (Cartão/Orange/MTN)</w:t>
              <w:br/>
              <w:t xml:space="preserve">    U-&gt;&gt;U: Ecrã de processamento interativo (Loader)</w:t>
              <w:br/>
              <w:t xml:space="preserve">    U-&gt;&gt;B: Pedido AJAX com dados de transação</w:t>
              <w:br/>
              <w:t xml:space="preserve">    Note over B: Verifica modo (Simulado vs Produção)</w:t>
              <w:br/>
              <w:t xml:space="preserve">    B-&gt;&gt;DB: Grava em `finan_pagamentos_inscricao` (pago)</w:t>
              <w:br/>
              <w:t xml:space="preserve">    B-&gt;&gt;DB: Atualiza `inscricoes_ordem` (status = pago)</w:t>
              <w:br/>
              <w:t xml:space="preserve">    B--&gt;&gt;U: Retorna JSON de sucesso com ID da Transação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B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05050"/>
                <w:sz w:val="20"/>
              </w:rPr>
              <w:t>Esta arquitetura garante que mesmo em modo simulado, todos os pagamentos e referências de transação são registados de forma segura na base de dados, permitindo aos administradores validar as entradas na tesouraria de forma manual ou automática.</w:t>
            </w:r>
          </w:p>
        </w:tc>
      </w:tr>
    </w:tbl>
    <w:p>
      <w:pPr>
        <w:spacing w:before="120" w:after="120"/>
      </w:pPr>
      <w:r>
        <w:rPr>
          <w:color w:val="DCDCDC"/>
        </w:rPr>
        <w:t>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color w:val="4D1C21"/>
          <w:sz w:val="28"/>
        </w:rPr>
        <w:t>2. Como Alternar entre Simulado e Real (Via Admin)</w:t>
      </w:r>
    </w:p>
    <w:p>
      <w:pPr>
        <w:spacing w:after="120" w:line="276" w:lineRule="auto"/>
      </w:pPr>
      <w:r>
        <w:rPr>
          <w:rFonts w:ascii="Arial" w:hAnsi="Arial"/>
          <w:color w:val="1E1E1E"/>
          <w:sz w:val="22"/>
        </w:rPr>
        <w:t xml:space="preserve">Nas </w:t>
      </w:r>
      <w:r>
        <w:rPr>
          <w:rFonts w:ascii="Arial" w:hAnsi="Arial"/>
          <w:b/>
          <w:color w:val="1E1E1E"/>
          <w:sz w:val="22"/>
        </w:rPr>
        <w:t>Configurações de Tesouraria</w:t>
      </w:r>
      <w:r>
        <w:rPr>
          <w:rFonts w:ascii="Arial" w:hAnsi="Arial"/>
          <w:color w:val="1E1E1E"/>
          <w:sz w:val="22"/>
        </w:rPr>
        <w:t xml:space="preserve"> (`/admin/modules/financeiro/configuracoes.php`), já existem os campos preparados para a transição: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4D1C2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Configuração</w:t>
            </w:r>
          </w:p>
        </w:tc>
        <w:tc>
          <w:tcPr>
            <w:tcW w:type="dxa" w:w="3120"/>
            <w:shd w:fill="4D1C2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120"/>
            <w:shd w:fill="4D1C2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Comportamento</w:t>
            </w:r>
          </w:p>
        </w:tc>
      </w:tr>
      <w:tr>
        <w:tc>
          <w:tcPr>
            <w:tcW w:type="dxa" w:w="3120"/>
            <w:shd w:fill="FDFB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1E1E"/>
                <w:sz w:val="19"/>
              </w:rPr>
              <w:t>**Gateway Orange Money**</w:t>
            </w:r>
          </w:p>
        </w:tc>
        <w:tc>
          <w:tcPr>
            <w:tcW w:type="dxa" w:w="3120"/>
            <w:shd w:fill="FDFB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1E1E"/>
                <w:sz w:val="19"/>
              </w:rPr>
              <w:t>`orange_money_enabled`</w:t>
            </w:r>
          </w:p>
        </w:tc>
        <w:tc>
          <w:tcPr>
            <w:tcW w:type="dxa" w:w="3120"/>
            <w:shd w:fill="FDFB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1E1E"/>
                <w:sz w:val="19"/>
              </w:rPr>
              <w:t>**0**: Modo Simulação (local)</w:t>
              <w:br/>
              <w:t>**1**: Modo Real (API Orange)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1E1E"/>
                <w:sz w:val="19"/>
              </w:rPr>
              <w:t>**Gateway MTN MoMo**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1E1E"/>
                <w:sz w:val="19"/>
              </w:rPr>
              <w:t>`mtn_momo_enabled`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E1E1E"/>
                <w:sz w:val="19"/>
              </w:rPr>
              <w:t>**0**: Modo Simulação (local)</w:t>
              <w:br/>
              <w:t>**1**: Modo Real (API MTN)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color w:val="1E1E1E"/>
          <w:sz w:val="22"/>
        </w:rPr>
        <w:t>Para ativar o modo real, o administrador deve: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4D1C21"/>
          <w:sz w:val="21"/>
        </w:rPr>
        <w:t xml:space="preserve">1. </w:t>
      </w:r>
      <w:r>
        <w:rPr>
          <w:rFonts w:ascii="Arial" w:hAnsi="Arial"/>
          <w:color w:val="1E1E1E"/>
          <w:sz w:val="21"/>
        </w:rPr>
        <w:t xml:space="preserve">Ir a </w:t>
      </w:r>
      <w:r>
        <w:rPr>
          <w:rFonts w:ascii="Arial" w:hAnsi="Arial"/>
          <w:b/>
          <w:color w:val="1E1E1E"/>
          <w:sz w:val="21"/>
        </w:rPr>
        <w:t>Admin → Financeiro → Configurações</w:t>
      </w:r>
      <w:r>
        <w:rPr>
          <w:rFonts w:ascii="Arial" w:hAnsi="Arial"/>
          <w:color w:val="1E1E1E"/>
          <w:sz w:val="21"/>
        </w:rPr>
        <w:t>.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4D1C21"/>
          <w:sz w:val="21"/>
        </w:rPr>
        <w:t xml:space="preserve">2. </w:t>
      </w:r>
      <w:r>
        <w:rPr>
          <w:rFonts w:ascii="Arial" w:hAnsi="Arial"/>
          <w:color w:val="1E1E1E"/>
          <w:sz w:val="21"/>
        </w:rPr>
        <w:t xml:space="preserve">Alterar a configuração para </w:t>
      </w:r>
      <w:r>
        <w:rPr>
          <w:rFonts w:ascii="Arial" w:hAnsi="Arial"/>
          <w:b/>
          <w:color w:val="1E1E1E"/>
          <w:sz w:val="21"/>
        </w:rPr>
        <w:t>ATIVADO</w:t>
      </w:r>
      <w:r>
        <w:rPr>
          <w:rFonts w:ascii="Arial" w:hAnsi="Arial"/>
          <w:color w:val="1E1E1E"/>
          <w:sz w:val="21"/>
        </w:rPr>
        <w:t>.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4D1C21"/>
          <w:sz w:val="21"/>
        </w:rPr>
        <w:t xml:space="preserve">3. </w:t>
      </w:r>
      <w:r>
        <w:rPr>
          <w:rFonts w:ascii="Arial" w:hAnsi="Arial"/>
          <w:color w:val="1E1E1E"/>
          <w:sz w:val="21"/>
        </w:rPr>
        <w:t>Inserir os respetivos parâmetros oficiais de produção fornecidos pelos operadores nos campos correspondentes.</w:t>
      </w:r>
    </w:p>
    <w:p>
      <w:pPr>
        <w:spacing w:before="120" w:after="120"/>
      </w:pPr>
      <w:r>
        <w:rPr>
          <w:color w:val="DCDCDC"/>
        </w:rPr>
        <w:t>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color w:val="4D1C21"/>
          <w:sz w:val="28"/>
        </w:rPr>
        <w:t>3. Roteiro de Integração das APIs Reais</w:t>
      </w:r>
    </w:p>
    <w:p>
      <w:pPr>
        <w:spacing w:after="120" w:line="276" w:lineRule="auto"/>
      </w:pPr>
      <w:r>
        <w:rPr>
          <w:rFonts w:ascii="Arial" w:hAnsi="Arial"/>
          <w:color w:val="1E1E1E"/>
          <w:sz w:val="22"/>
        </w:rPr>
        <w:t>Para tornar as transações reais na Guiné-Bissau, a OAGB tem duas rotas de implementação:</w:t>
      </w:r>
    </w:p>
    <w:p>
      <w:pPr>
        <w:keepNext/>
        <w:spacing w:before="200" w:after="80"/>
      </w:pPr>
      <w:r>
        <w:rPr>
          <w:rFonts w:ascii="Arial" w:hAnsi="Arial"/>
          <w:b/>
          <w:color w:val="B1A276"/>
          <w:sz w:val="24"/>
        </w:rPr>
        <w:t>Opção A: Integração Direta com os Operadores (Orange e MTN)</w:t>
      </w:r>
    </w:p>
    <w:p>
      <w:pPr>
        <w:spacing w:after="120" w:line="276" w:lineRule="auto"/>
      </w:pPr>
      <w:r>
        <w:rPr>
          <w:rFonts w:ascii="Arial" w:hAnsi="Arial"/>
          <w:color w:val="1E1E1E"/>
          <w:sz w:val="22"/>
        </w:rPr>
        <w:t xml:space="preserve">Requer a assinatura de contratos comerciais com as sedes da </w:t>
      </w:r>
      <w:r>
        <w:rPr>
          <w:rFonts w:ascii="Arial" w:hAnsi="Arial"/>
          <w:b/>
          <w:color w:val="1E1E1E"/>
          <w:sz w:val="22"/>
        </w:rPr>
        <w:t>Orange Bissau</w:t>
      </w:r>
      <w:r>
        <w:rPr>
          <w:rFonts w:ascii="Arial" w:hAnsi="Arial"/>
          <w:color w:val="1E1E1E"/>
          <w:sz w:val="22"/>
        </w:rPr>
        <w:t xml:space="preserve"> e da </w:t>
      </w:r>
      <w:r>
        <w:rPr>
          <w:rFonts w:ascii="Arial" w:hAnsi="Arial"/>
          <w:b/>
          <w:color w:val="1E1E1E"/>
          <w:sz w:val="22"/>
        </w:rPr>
        <w:t>MTN Guiné-Bissau</w:t>
      </w:r>
      <w:r>
        <w:rPr>
          <w:rFonts w:ascii="Arial" w:hAnsi="Arial"/>
          <w:color w:val="1E1E1E"/>
          <w:sz w:val="22"/>
        </w:rPr>
        <w:t xml:space="preserve"> para obter as chaves de API e Merchant IDs.</w:t>
      </w:r>
    </w:p>
    <w:p>
      <w:pPr>
        <w:keepNext/>
        <w:spacing w:before="160" w:after="80"/>
      </w:pPr>
      <w:r>
        <w:rPr>
          <w:rFonts w:ascii="Arial" w:hAnsi="Arial"/>
          <w:b/>
          <w:color w:val="B1A276"/>
          <w:sz w:val="22"/>
        </w:rPr>
        <w:t>1. Orange Money API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1E1E"/>
          <w:sz w:val="21"/>
        </w:rPr>
      </w:r>
      <w:r>
        <w:rPr>
          <w:rFonts w:ascii="Arial" w:hAnsi="Arial"/>
          <w:b/>
          <w:color w:val="1E1E1E"/>
          <w:sz w:val="21"/>
        </w:rPr>
        <w:t>Documentação Oficial</w:t>
      </w:r>
      <w:r>
        <w:rPr>
          <w:rFonts w:ascii="Arial" w:hAnsi="Arial"/>
          <w:color w:val="1E1E1E"/>
          <w:sz w:val="21"/>
        </w:rPr>
        <w:t>: Orange Developer Portal (Orange Money Web Payment).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1E1E"/>
          <w:sz w:val="21"/>
        </w:rPr>
      </w:r>
      <w:r>
        <w:rPr>
          <w:rFonts w:ascii="Arial" w:hAnsi="Arial"/>
          <w:b/>
          <w:color w:val="1E1E1E"/>
          <w:sz w:val="21"/>
        </w:rPr>
        <w:t>Fluxo de API</w:t>
      </w:r>
      <w:r>
        <w:rPr>
          <w:rFonts w:ascii="Arial" w:hAnsi="Arial"/>
          <w:color w:val="1E1E1E"/>
          <w:sz w:val="21"/>
        </w:rPr>
        <w:t>: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4D1C21"/>
          <w:sz w:val="21"/>
        </w:rPr>
        <w:t xml:space="preserve">1. </w:t>
      </w:r>
      <w:r>
        <w:rPr>
          <w:rFonts w:ascii="Arial" w:hAnsi="Arial"/>
          <w:color w:val="1E1E1E"/>
          <w:sz w:val="21"/>
        </w:rPr>
        <w:t>O servidor OAGB efetua um pedido `POST` para `https://api.orange.com/orange-money-webpay/gw/v1/webpayment` com o valor, moeda (`XOF`) e referência.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4D1C21"/>
          <w:sz w:val="21"/>
        </w:rPr>
        <w:t xml:space="preserve">2. </w:t>
      </w:r>
      <w:r>
        <w:rPr>
          <w:rFonts w:ascii="Arial" w:hAnsi="Arial"/>
          <w:color w:val="1E1E1E"/>
          <w:sz w:val="21"/>
        </w:rPr>
        <w:t>A API Orange devolve um `payment_url` e um `token`.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4D1C21"/>
          <w:sz w:val="21"/>
        </w:rPr>
        <w:t xml:space="preserve">3. </w:t>
      </w:r>
      <w:r>
        <w:rPr>
          <w:rFonts w:ascii="Arial" w:hAnsi="Arial"/>
          <w:color w:val="1E1E1E"/>
          <w:sz w:val="21"/>
        </w:rPr>
        <w:t>O candidato é redirecionado para o portal seguro da Orange para autorizar o pagamento via telemóvel, retornando depois ao portal da OAGB.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1E1E"/>
          <w:sz w:val="21"/>
        </w:rPr>
      </w:r>
      <w:r>
        <w:rPr>
          <w:rFonts w:ascii="Arial" w:hAnsi="Arial"/>
          <w:b/>
          <w:color w:val="1E1E1E"/>
          <w:sz w:val="21"/>
        </w:rPr>
        <w:t>Webhook</w:t>
      </w:r>
      <w:r>
        <w:rPr>
          <w:rFonts w:ascii="Arial" w:hAnsi="Arial"/>
          <w:color w:val="1E1E1E"/>
          <w:sz w:val="21"/>
        </w:rPr>
        <w:t>: A Orange envia uma notificação instantânea (IPN) para o nosso script confirmando o sucesso.</w:t>
      </w:r>
    </w:p>
    <w:p>
      <w:pPr>
        <w:keepNext/>
        <w:spacing w:before="160" w:after="80"/>
      </w:pPr>
      <w:r>
        <w:rPr>
          <w:rFonts w:ascii="Arial" w:hAnsi="Arial"/>
          <w:b/>
          <w:color w:val="B1A276"/>
          <w:sz w:val="22"/>
        </w:rPr>
        <w:t>2. MTN MoMo API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1E1E"/>
          <w:sz w:val="21"/>
        </w:rPr>
      </w:r>
      <w:r>
        <w:rPr>
          <w:rFonts w:ascii="Arial" w:hAnsi="Arial"/>
          <w:b/>
          <w:color w:val="1E1E1E"/>
          <w:sz w:val="21"/>
        </w:rPr>
        <w:t>Documentação Oficial</w:t>
      </w:r>
      <w:r>
        <w:rPr>
          <w:rFonts w:ascii="Arial" w:hAnsi="Arial"/>
          <w:color w:val="1E1E1E"/>
          <w:sz w:val="21"/>
        </w:rPr>
        <w:t>: MTN MoMo Developer Portal (Collections API).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1E1E"/>
          <w:sz w:val="21"/>
        </w:rPr>
      </w:r>
      <w:r>
        <w:rPr>
          <w:rFonts w:ascii="Arial" w:hAnsi="Arial"/>
          <w:b/>
          <w:color w:val="1E1E1E"/>
          <w:sz w:val="21"/>
        </w:rPr>
        <w:t>Fluxo de API</w:t>
      </w:r>
      <w:r>
        <w:rPr>
          <w:rFonts w:ascii="Arial" w:hAnsi="Arial"/>
          <w:color w:val="1E1E1E"/>
          <w:sz w:val="21"/>
        </w:rPr>
        <w:t>: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4D1C21"/>
          <w:sz w:val="21"/>
        </w:rPr>
        <w:t xml:space="preserve">1. </w:t>
      </w:r>
      <w:r>
        <w:rPr>
          <w:rFonts w:ascii="Arial" w:hAnsi="Arial"/>
          <w:color w:val="1E1E1E"/>
          <w:sz w:val="21"/>
        </w:rPr>
        <w:t>O servidor OAGB inicia um pedido *Request to Pay* enviando um `POST` para `/collection/v1_0/requesttopay` contendo o número de telemóvel do cliente (`+24596...`) e o valor.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4D1C21"/>
          <w:sz w:val="21"/>
        </w:rPr>
        <w:t xml:space="preserve">2. </w:t>
      </w:r>
      <w:r>
        <w:rPr>
          <w:rFonts w:ascii="Arial" w:hAnsi="Arial"/>
          <w:color w:val="1E1E1E"/>
          <w:sz w:val="21"/>
        </w:rPr>
        <w:t>O telemóvel do candidato recebe instantaneamente um ecrã *Push USSD* a solicitar o PIN.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4D1C21"/>
          <w:sz w:val="21"/>
        </w:rPr>
        <w:t xml:space="preserve">3. </w:t>
      </w:r>
      <w:r>
        <w:rPr>
          <w:rFonts w:ascii="Arial" w:hAnsi="Arial"/>
          <w:color w:val="1E1E1E"/>
          <w:sz w:val="21"/>
        </w:rPr>
        <w:t>O servidor da OAGB monitoriza o estado enviando pedidos `GET` para `/collection/v1_0/requesttopay/{referenceId}` até obter o estado `SUCCESSFUL`.</w:t>
      </w:r>
    </w:p>
    <w:p>
      <w:pPr>
        <w:spacing w:before="120" w:after="120"/>
      </w:pPr>
      <w:r>
        <w:rPr>
          <w:color w:val="DCDCDC"/>
        </w:rPr>
        <w:t>__________________________________________________________________</w:t>
      </w:r>
    </w:p>
    <w:p>
      <w:pPr>
        <w:keepNext/>
        <w:spacing w:before="200" w:after="80"/>
      </w:pPr>
      <w:r>
        <w:rPr>
          <w:rFonts w:ascii="Arial" w:hAnsi="Arial"/>
          <w:b/>
          <w:color w:val="B1A276"/>
          <w:sz w:val="24"/>
        </w:rPr>
        <w:t>Opção B: Integração com Gateways Multicanal Regionais (Recomendada)</w:t>
      </w:r>
    </w:p>
    <w:p>
      <w:pPr>
        <w:spacing w:after="120" w:line="276" w:lineRule="auto"/>
      </w:pPr>
      <w:r>
        <w:rPr>
          <w:rFonts w:ascii="Arial" w:hAnsi="Arial"/>
          <w:color w:val="1E1E1E"/>
          <w:sz w:val="22"/>
        </w:rPr>
        <w:t xml:space="preserve">Em vez de integrar cada operador individualmente (e lidar com a ausência do Stripe na Guiné-Bissau), pode utilizar-se um gateway regional que suporte a zona </w:t>
      </w:r>
      <w:r>
        <w:rPr>
          <w:rFonts w:ascii="Arial" w:hAnsi="Arial"/>
          <w:b/>
          <w:color w:val="1E1E1E"/>
          <w:sz w:val="22"/>
        </w:rPr>
        <w:t>UEMOA</w:t>
      </w:r>
      <w:r>
        <w:rPr>
          <w:rFonts w:ascii="Arial" w:hAnsi="Arial"/>
          <w:color w:val="1E1E1E"/>
          <w:sz w:val="22"/>
        </w:rPr>
        <w:t xml:space="preserve"> (União Económica e Monetária do Oeste Africano) e a moeda </w:t>
      </w:r>
      <w:r>
        <w:rPr>
          <w:rFonts w:ascii="Arial" w:hAnsi="Arial"/>
          <w:b/>
          <w:color w:val="1E1E1E"/>
          <w:sz w:val="22"/>
        </w:rPr>
        <w:t>XOF</w:t>
      </w:r>
      <w:r>
        <w:rPr>
          <w:rFonts w:ascii="Arial" w:hAnsi="Arial"/>
          <w:color w:val="1E1E1E"/>
          <w:sz w:val="22"/>
        </w:rPr>
        <w:t>.</w:t>
      </w:r>
    </w:p>
    <w:p>
      <w:pPr>
        <w:spacing w:after="120" w:line="276" w:lineRule="auto"/>
      </w:pPr>
      <w:r>
        <w:rPr>
          <w:rFonts w:ascii="Arial" w:hAnsi="Arial"/>
          <w:color w:val="1E1E1E"/>
          <w:sz w:val="22"/>
        </w:rPr>
        <w:t xml:space="preserve">Estes gateways unificam </w:t>
      </w:r>
      <w:r>
        <w:rPr>
          <w:rFonts w:ascii="Arial" w:hAnsi="Arial"/>
          <w:b/>
          <w:color w:val="1E1E1E"/>
          <w:sz w:val="22"/>
        </w:rPr>
        <w:t>Cartões de Crédito (VISA/Mastercard)</w:t>
      </w:r>
      <w:r>
        <w:rPr>
          <w:rFonts w:ascii="Arial" w:hAnsi="Arial"/>
          <w:color w:val="1E1E1E"/>
          <w:sz w:val="22"/>
        </w:rPr>
        <w:t xml:space="preserve">, </w:t>
      </w:r>
      <w:r>
        <w:rPr>
          <w:rFonts w:ascii="Arial" w:hAnsi="Arial"/>
          <w:b/>
          <w:color w:val="1E1E1E"/>
          <w:sz w:val="22"/>
        </w:rPr>
        <w:t>Orange Money</w:t>
      </w:r>
      <w:r>
        <w:rPr>
          <w:rFonts w:ascii="Arial" w:hAnsi="Arial"/>
          <w:color w:val="1E1E1E"/>
          <w:sz w:val="22"/>
        </w:rPr>
        <w:t xml:space="preserve"> e </w:t>
      </w:r>
      <w:r>
        <w:rPr>
          <w:rFonts w:ascii="Arial" w:hAnsi="Arial"/>
          <w:b/>
          <w:color w:val="1E1E1E"/>
          <w:sz w:val="22"/>
        </w:rPr>
        <w:t>MTN MoMo</w:t>
      </w:r>
      <w:r>
        <w:rPr>
          <w:rFonts w:ascii="Arial" w:hAnsi="Arial"/>
          <w:color w:val="1E1E1E"/>
          <w:sz w:val="22"/>
        </w:rPr>
        <w:t xml:space="preserve"> numa única API: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4D1C21"/>
          <w:sz w:val="21"/>
        </w:rPr>
        <w:t xml:space="preserve">1. </w:t>
      </w:r>
      <w:r>
        <w:rPr>
          <w:rFonts w:ascii="Arial" w:hAnsi="Arial"/>
          <w:color w:val="1E1E1E"/>
          <w:sz w:val="21"/>
        </w:rPr>
      </w:r>
      <w:r>
        <w:rPr>
          <w:rFonts w:ascii="Arial" w:hAnsi="Arial"/>
          <w:b/>
          <w:color w:val="1E1E1E"/>
          <w:sz w:val="21"/>
        </w:rPr>
        <w:t>FedaPay</w:t>
      </w:r>
      <w:r>
        <w:rPr>
          <w:rFonts w:ascii="Arial" w:hAnsi="Arial"/>
          <w:color w:val="1E1E1E"/>
          <w:sz w:val="21"/>
        </w:rPr>
        <w:t xml:space="preserve"> (`fedapay.com`): Suporta pagamentos com cartões internacionais e carteiras móveis na zona UEMOA em XOF.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4D1C21"/>
          <w:sz w:val="21"/>
        </w:rPr>
        <w:t xml:space="preserve">2. </w:t>
      </w:r>
      <w:r>
        <w:rPr>
          <w:rFonts w:ascii="Arial" w:hAnsi="Arial"/>
          <w:color w:val="1E1E1E"/>
          <w:sz w:val="21"/>
        </w:rPr>
      </w:r>
      <w:r>
        <w:rPr>
          <w:rFonts w:ascii="Arial" w:hAnsi="Arial"/>
          <w:b/>
          <w:color w:val="1E1E1E"/>
          <w:sz w:val="21"/>
        </w:rPr>
        <w:t>CinetPay</w:t>
      </w:r>
      <w:r>
        <w:rPr>
          <w:rFonts w:ascii="Arial" w:hAnsi="Arial"/>
          <w:color w:val="1E1E1E"/>
          <w:sz w:val="21"/>
        </w:rPr>
        <w:t xml:space="preserve"> (`cinetpay.com`): Amplamente utilizado na África Ocidental, permite processar pagamentos de cartões e mobile money locais.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323232"/>
                <w:sz w:val="19"/>
              </w:rPr>
              <w:t>graph TD</w:t>
              <w:br/>
              <w:t xml:space="preserve">    A[Candidato] --&gt; B[Gateway Regional: FedaPay / CinetPay]</w:t>
              <w:br/>
              <w:t xml:space="preserve">    B --&gt; C[VISA / MasterCard]</w:t>
              <w:br/>
              <w:t xml:space="preserve">    B --&gt; D[Orange Money]</w:t>
              <w:br/>
              <w:t xml:space="preserve">    B --&gt; E[MTN MoMo]</w:t>
            </w:r>
          </w:p>
        </w:tc>
      </w:tr>
    </w:tbl>
    <w:p>
      <w:pPr>
        <w:spacing w:before="120" w:after="120"/>
      </w:pPr>
      <w:r>
        <w:rPr>
          <w:color w:val="DCDCDC"/>
        </w:rPr>
        <w:t>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color w:val="4D1C21"/>
          <w:sz w:val="28"/>
        </w:rPr>
        <w:t>4. Atualização de Código para Modo Real</w:t>
      </w:r>
    </w:p>
    <w:p>
      <w:pPr>
        <w:spacing w:after="120" w:line="276" w:lineRule="auto"/>
      </w:pPr>
      <w:r>
        <w:rPr>
          <w:rFonts w:ascii="Arial" w:hAnsi="Arial"/>
          <w:color w:val="1E1E1E"/>
          <w:sz w:val="22"/>
        </w:rPr>
        <w:t>Quando obtiver as chaves das APIs reais, o ficheiro `/processar_pagamento_local.php` deve ser modificado para validar a variável de configuração e efetuar os disparos HTTP reais.</w:t>
      </w:r>
    </w:p>
    <w:p>
      <w:pPr>
        <w:spacing w:after="120" w:line="276" w:lineRule="auto"/>
      </w:pPr>
      <w:r>
        <w:rPr>
          <w:rFonts w:ascii="Arial" w:hAnsi="Arial"/>
          <w:color w:val="1E1E1E"/>
          <w:sz w:val="22"/>
        </w:rPr>
        <w:t>Exemplo de estrutura condicional em PHP: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323232"/>
                <w:sz w:val="19"/>
              </w:rPr>
              <w:t>// processar_pagamento_local.php</w:t>
              <w:br/>
              <w:br/>
              <w:t>// 1. Verificar se o modo real está ativado nas configs da BD</w:t>
              <w:br/>
              <w:t>$orange_real = ($configs['orange_money_enabled'] ?? '0') === '1';</w:t>
              <w:br/>
              <w:t>$mtn_real    = ($configs['mtn_momo_enabled']    ?? '0') === '1';</w:t>
              <w:br/>
              <w:br/>
              <w:t>if ($metodo === 'orange_money' &amp;&amp; $orange_real) {</w:t>
              <w:br/>
              <w:t xml:space="preserve">    // ──────── PROCESSO REAL ORANGE MONEY ────────</w:t>
              <w:br/>
              <w:t xml:space="preserve">    $api_key = $configs['orange_api_key'] ?? '';</w:t>
              <w:br/>
              <w:t xml:space="preserve">    </w:t>
              <w:br/>
              <w:t xml:space="preserve">    // Disparar chamada cURL para a API oficial da Orange Bissau</w:t>
              <w:br/>
              <w:t xml:space="preserve">    $response = disparar_api_orange($api_key, $telefone, $valor);</w:t>
              <w:br/>
              <w:t xml:space="preserve">    </w:t>
              <w:br/>
              <w:t xml:space="preserve">    if ($response['status'] === 'SUCCESS') {</w:t>
              <w:br/>
              <w:t xml:space="preserve">        // Gravar pagamento real na BD e retornar sucesso</w:t>
              <w:br/>
              <w:t xml:space="preserve">        registar_pagamento_sucesso($pdo, $inscricao_id, $response['txn_id'], 'orange_money', $valor);</w:t>
              <w:br/>
              <w:t xml:space="preserve">    } else {</w:t>
              <w:br/>
              <w:t xml:space="preserve">        json_err("Transação rejeitada pela Orange: " . $response['error_msg']);</w:t>
              <w:br/>
              <w:t xml:space="preserve">    }</w:t>
              <w:br/>
              <w:t xml:space="preserve">    </w:t>
              <w:br/>
              <w:t>} else if ($metodo === 'mtn_momo' &amp;&amp; $mtn_real) {</w:t>
              <w:br/>
              <w:t xml:space="preserve">    // ──────── PROCESSO REAL MTN MOMO ────────</w:t>
              <w:br/>
              <w:t xml:space="preserve">    // Chamada cURL para a API oficial da MTN MoMo Guiné-Bissau</w:t>
              <w:br/>
              <w:t xml:space="preserve">    $response = disparar_api_mtn($configs['mtn_api_key'], $telefone, $valor);</w:t>
              <w:br/>
              <w:t xml:space="preserve">    </w:t>
              <w:br/>
              <w:t xml:space="preserve">    if ($response['status'] === 'SUCCESS') {</w:t>
              <w:br/>
              <w:t xml:space="preserve">        registar_pagamento_sucesso($pdo, $inscricao_id, $response['txn_id'], 'mtn_momo', $valor);</w:t>
              <w:br/>
              <w:t xml:space="preserve">    } else {</w:t>
              <w:br/>
              <w:t xml:space="preserve">        json_err("Transação rejeitada pela MTN.");</w:t>
              <w:br/>
              <w:t xml:space="preserve">    }</w:t>
              <w:br/>
              <w:t xml:space="preserve">    </w:t>
              <w:br/>
              <w:t>} else {</w:t>
              <w:br/>
              <w:t xml:space="preserve">    // ──────── MODO DE SIMULAÇÃO (COMPORTAMENTO ATUAL) ────────</w:t>
              <w:br/>
              <w:t xml:space="preserve">    processar_fluxo_simulado($pdo, $inscricao_id, $metodo, $telefone, $valor);</w:t>
              <w:br/>
              <w:t>}</w:t>
            </w:r>
          </w:p>
        </w:tc>
      </w:tr>
    </w:tbl>
    <w:p>
      <w:pPr>
        <w:spacing w:before="120" w:after="120"/>
      </w:pPr>
      <w:r>
        <w:rPr>
          <w:color w:val="DCDCDC"/>
        </w:rPr>
        <w:t>__________________________________________________________________</w:t>
      </w:r>
    </w:p>
    <w:p>
      <w:pPr>
        <w:keepNext/>
        <w:spacing w:before="280" w:after="120"/>
      </w:pPr>
      <w:r>
        <w:rPr>
          <w:rFonts w:ascii="Arial" w:hAnsi="Arial"/>
          <w:b/>
          <w:color w:val="4D1C21"/>
          <w:sz w:val="28"/>
        </w:rPr>
        <w:t>5. Próximos Passos Comerciais para a OAGB</w:t>
      </w:r>
    </w:p>
    <w:p>
      <w:pPr>
        <w:spacing w:after="120" w:line="276" w:lineRule="auto"/>
      </w:pPr>
      <w:r>
        <w:rPr>
          <w:rFonts w:ascii="Arial" w:hAnsi="Arial"/>
          <w:color w:val="1E1E1E"/>
          <w:sz w:val="22"/>
        </w:rPr>
        <w:t>Para avançar para o ambiente real, a administração da Ordem deve: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4D1C21"/>
          <w:sz w:val="21"/>
        </w:rPr>
        <w:t xml:space="preserve">1. </w:t>
      </w:r>
      <w:r>
        <w:rPr>
          <w:rFonts w:ascii="Arial" w:hAnsi="Arial"/>
          <w:color w:val="1E1E1E"/>
          <w:sz w:val="21"/>
        </w:rPr>
      </w:r>
      <w:r>
        <w:rPr>
          <w:rFonts w:ascii="Arial" w:hAnsi="Arial"/>
          <w:b/>
          <w:color w:val="1E1E1E"/>
          <w:sz w:val="21"/>
        </w:rPr>
        <w:t>Constituir Conta de Comerciante</w:t>
      </w:r>
      <w:r>
        <w:rPr>
          <w:rFonts w:ascii="Arial" w:hAnsi="Arial"/>
          <w:color w:val="1E1E1E"/>
          <w:sz w:val="21"/>
        </w:rPr>
        <w:t>: Entrar em contacto com os departamentos comerciais da Orange Bissau, MTN Bissau ou registar-se na plataforma FedaPay/CinetPay.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4D1C21"/>
          <w:sz w:val="21"/>
        </w:rPr>
        <w:t xml:space="preserve">2. </w:t>
      </w:r>
      <w:r>
        <w:rPr>
          <w:rFonts w:ascii="Arial" w:hAnsi="Arial"/>
          <w:color w:val="1E1E1E"/>
          <w:sz w:val="21"/>
        </w:rPr>
      </w:r>
      <w:r>
        <w:rPr>
          <w:rFonts w:ascii="Arial" w:hAnsi="Arial"/>
          <w:b/>
          <w:color w:val="1E1E1E"/>
          <w:sz w:val="21"/>
        </w:rPr>
        <w:t>Obter Credenciais de Produção</w:t>
      </w:r>
      <w:r>
        <w:rPr>
          <w:rFonts w:ascii="Arial" w:hAnsi="Arial"/>
          <w:color w:val="1E1E1E"/>
          <w:sz w:val="21"/>
        </w:rPr>
        <w:t>: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1E1E"/>
          <w:sz w:val="21"/>
        </w:rPr>
        <w:t>`API Key` (Chave de API)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1E1E"/>
          <w:sz w:val="21"/>
        </w:rPr>
        <w:t>`Secret Key` (Chave Privada)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1E1E1E"/>
          <w:sz w:val="21"/>
        </w:rPr>
        <w:t>`Merchant ID` / `Service ID`</w:t>
      </w:r>
    </w:p>
    <w:p>
      <w:pPr>
        <w:spacing w:after="80" w:line="276" w:lineRule="auto"/>
        <w:ind w:left="360"/>
      </w:pPr>
      <w:r>
        <w:rPr>
          <w:rFonts w:ascii="Arial" w:hAnsi="Arial"/>
          <w:b/>
          <w:color w:val="4D1C21"/>
          <w:sz w:val="21"/>
        </w:rPr>
        <w:t xml:space="preserve">3. </w:t>
      </w:r>
      <w:r>
        <w:rPr>
          <w:rFonts w:ascii="Arial" w:hAnsi="Arial"/>
          <w:color w:val="1E1E1E"/>
          <w:sz w:val="21"/>
        </w:rPr>
      </w:r>
      <w:r>
        <w:rPr>
          <w:rFonts w:ascii="Arial" w:hAnsi="Arial"/>
          <w:b/>
          <w:color w:val="1E1E1E"/>
          <w:sz w:val="21"/>
        </w:rPr>
        <w:t>Configurar os Webhooks</w:t>
      </w:r>
      <w:r>
        <w:rPr>
          <w:rFonts w:ascii="Arial" w:hAnsi="Arial"/>
          <w:color w:val="1E1E1E"/>
          <w:sz w:val="21"/>
        </w:rPr>
        <w:t>: Configurar o URL de retorno no portal do gateway apontando para a OAGB para atualização automática de status de inscrições em background.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