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olor w:val="1B3A5C"/>
          <w:sz w:val="48"/>
          <w:szCs w:val="48"/>
        </w:rPr>
        <w:t xml:space="preserve">RAPPORT D'AUDIT</w:t>
      </w:r>
    </w:p>
    <w:p>
      <w:pPr>
        <w:spacing w:after="240" w:before="0"/>
        <w:jc w:val="center"/>
      </w:pPr>
      <w:r>
        <w:rPr>
          <w:rFonts w:ascii="Arial" w:cs="Arial" w:eastAsia="Arial" w:hAnsi="Arial"/>
          <w:b w:val="false"/>
          <w:bCs w:val="false"/>
          <w:color w:val="2E75B6"/>
          <w:sz w:val="36"/>
          <w:szCs w:val="36"/>
        </w:rPr>
        <w:t xml:space="preserve">Pipeline de Qualité de Données</w:t>
      </w:r>
    </w:p>
    <w:p>
      <w:pPr>
        <w:pBdr>
          <w:bottom w:val="single" w:color="2E75B6" w:sz="6" w:space="1"/>
        </w:pBdr>
        <w:spacing w:after="60" w:before="60"/>
      </w:pPr>
    </w:p>
    <w:p>
      <w:pPr>
        <w:spacing w:after="0" w:before="120"/>
      </w:pPr>
    </w:p>
    <w:p>
      <w:pPr>
        <w:spacing w:after="80" w:before="120"/>
        <w:jc w:val="center"/>
      </w:pPr>
      <w:r>
        <w:rPr>
          <w:rFonts w:ascii="Arial" w:cs="Arial" w:eastAsia="Arial" w:hAnsi="Arial"/>
          <w:color w:val="444441"/>
          <w:sz w:val="26"/>
          <w:szCs w:val="26"/>
        </w:rPr>
        <w:t xml:space="preserve">QuantAxis Capital — Paris</w:t>
      </w:r>
    </w:p>
    <w:p>
      <w:pPr>
        <w:spacing w:after="80" w:before="0"/>
        <w:jc w:val="center"/>
      </w:pPr>
      <w:r>
        <w:rPr>
          <w:rFonts w:ascii="Arial" w:cs="Arial" w:eastAsia="Arial" w:hAnsi="Arial"/>
          <w:color w:val="D3D1C7"/>
          <w:sz w:val="24"/>
          <w:szCs w:val="24"/>
        </w:rPr>
        <w:t xml:space="preserve">DCLE821 — Projet Data Engineering</w:t>
      </w:r>
    </w:p>
    <w:p>
      <w:pPr>
        <w:spacing w:after="240" w:before="0"/>
        <w:jc w:val="center"/>
      </w:pPr>
      <w:r>
        <w:rPr>
          <w:rFonts w:ascii="Arial" w:cs="Arial" w:eastAsia="Arial" w:hAnsi="Arial"/>
          <w:color w:val="D3D1C7"/>
          <w:sz w:val="22"/>
          <w:szCs w:val="22"/>
        </w:rPr>
        <w:t xml:space="preserve">Audit • Nettoyage • Certification</w:t>
      </w:r>
    </w:p>
    <w:p>
      <w:pPr>
        <w:spacing w:after="0" w:before="600"/>
      </w:pPr>
    </w:p>
    <w:p>
      <w:pPr>
        <w:jc w:val="center"/>
      </w:pPr>
      <w:r>
        <w:rPr>
          <w:rFonts w:ascii="Arial" w:cs="Arial" w:eastAsia="Arial" w:hAnsi="Arial"/>
          <w:color w:val="444441"/>
          <w:sz w:val="20"/>
          <w:szCs w:val="20"/>
        </w:rPr>
        <w:t xml:space="preserve">Dataset : tradecleanse_raw.csv  |  8 742 observations  |  20 colonnes  |  3 sources</w:t>
      </w:r>
    </w:p>
    <w:p>
      <w:r>
        <w:br w:type="page"/>
      </w:r>
    </w:p>
    <w:p>
      <w:pPr>
        <w:pStyle w:val="Heading1"/>
        <w:spacing w:after="120" w:before="360"/>
      </w:pPr>
      <w:r>
        <w:rPr>
          <w:rFonts w:ascii="Arial" w:cs="Arial" w:eastAsia="Arial" w:hAnsi="Arial"/>
          <w:b/>
          <w:bCs/>
          <w:color w:val="1B3A5C"/>
          <w:sz w:val="32"/>
          <w:szCs w:val="32"/>
        </w:rPr>
        <w:t xml:space="preserve">1. Data Dictionnaire — 20 Colonnes</w:t>
      </w:r>
    </w:p>
    <w:p>
      <w:pPr>
        <w:pBdr>
          <w:bottom w:val="single" w:color="2E75B6" w:sz="6" w:space="1"/>
        </w:pBdr>
        <w:spacing w:after="60" w:before="60"/>
      </w:pPr>
    </w:p>
    <w:p>
      <w:pPr>
        <w:spacing w:after="60" w:before="60"/>
      </w:pPr>
      <w:r>
        <w:rPr>
          <w:rFonts w:ascii="Arial" w:cs="Arial" w:eastAsia="Arial" w:hAnsi="Arial"/>
          <w:color w:val="444441"/>
          <w:sz w:val="22"/>
          <w:szCs w:val="22"/>
        </w:rPr>
        <w:t xml:space="preserve">Le tableau suivant recense les 20 colonnes du dataset consolidé avec leur type attendu, source, domaine de validité et règle de validation métier. La criticité indique l'impact d'une anomalie sur le modèle de scoring de risque de contrepartie.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000"/>
        <w:gridCol w:w="1500"/>
        <w:gridCol w:w="900"/>
        <w:gridCol w:w="2460"/>
      </w:tblGrid>
      <w:tr>
        <w:trPr>
          <w:tblHeader/>
        </w:trPr>
        <w:tc>
          <w:tcPr>
            <w:tcW w:type="dxa" w:w="16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9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Domaine valide</w:t>
            </w:r>
          </w:p>
        </w:tc>
        <w:tc>
          <w:tcPr>
            <w:tcW w:type="dxa" w:w="9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Criticité</w:t>
            </w:r>
          </w:p>
        </w:tc>
        <w:tc>
          <w:tcPr>
            <w:tcW w:type="dxa" w:w="246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Règle de validation</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trade_id</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STRING</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Murex</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Unique, non nul</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Clé primaire — NaN → suppression ligne</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counterparty_id</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STRING</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Murex</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Non nul</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Identifiant contrepartie</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counterparty_name</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STRING</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Refinitiv</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PII — pseudonymiser</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Art. 4(1) RGPD — hachage SHA-256</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isin</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STRING</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Bloomberg</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^[A-Z]{2}[A-Z0-9]{10}$</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ISO 6166 : 2L + 10 alphanum</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trade_date</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DATE</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Murex</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JJ/MM/AAAA ou ISO</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Non nul — clé temporelle</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settlement_date</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DATE</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Murex</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&gt;= trade_date</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CSDR T+2 — toujours après trade</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asset_class</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CATEGORY</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Murex</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{equity,bond,derivative,fx}</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Référentiel strict, casse à normaliser</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notional_eur</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FLOAT</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Murex</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&gt; 0</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Exposition financière</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price</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FLOAT</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Bloomberg</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[bid*0.995, ask*1.005]</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Prix d'exécution</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quantity</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INTEGER</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Murex</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&gt; 0</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Quantité d'instruments</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bid</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FLOAT</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Bloomberg</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0 &lt; bid &lt; ask</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Prix acheteur</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ask</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FLOAT</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Bloomberg</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ask &gt; bid &gt; 0</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Prix vendeur</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mid_price</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FLOAT</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Bloomberg</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(bid+ask)/2 ±1%</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Donnée dérivée — recalcul si incohérence</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volume_j</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INTEGER</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Bloomberg</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&gt;= 0</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0F6E56"/>
                <w:sz w:val="20"/>
                <w:szCs w:val="20"/>
              </w:rPr>
              <w:t xml:space="preserve">MOYENNE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Volume journalier</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volatility_30d</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FLOAT</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Bloomberg</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[0.1, 200]</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Volatilité historique 30j (%)</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credit_rating</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CATEGORY</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Refinitiv</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{AAA,AA,A,BBB,BB,B,CCC,D}</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Incompatible AAA/AA/A + default=1</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default_flag</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INTEGER</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Refinitiv</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{0, 1}</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Flag binaire — autre valeur = corrompu</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sector</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STRING</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Refinitiv</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GICS — valeur libre</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0F6E56"/>
                <w:sz w:val="20"/>
                <w:szCs w:val="20"/>
              </w:rPr>
              <w:t xml:space="preserve">MOYENNE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Normaliser casse + strip</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country_risk</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FLOAT</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Refinitiv</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[0, 100]</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0F6E56"/>
                <w:sz w:val="20"/>
                <w:szCs w:val="20"/>
              </w:rPr>
              <w:t xml:space="preserve">MOYENNE</w:t>
            </w:r>
          </w:p>
        </w:tc>
        <w:tc>
          <w:tcPr>
            <w:tcW w:type="dxa" w:w="2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18"/>
                <w:szCs w:val="18"/>
              </w:rPr>
              <w:t xml:space="preserve">Score pays Refinitiv</w:t>
            </w:r>
          </w:p>
        </w:tc>
      </w:tr>
      <w:tr>
        <w:tc>
          <w:tcPr>
            <w:tcW w:type="dxa" w:w="16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trader_id</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STRING</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Murex</w:t>
            </w:r>
          </w:p>
        </w:tc>
        <w:tc>
          <w:tcPr>
            <w:tcW w:type="dxa" w:w="15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PII — pseudonymiser</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2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18"/>
                <w:szCs w:val="18"/>
              </w:rPr>
              <w:t xml:space="preserve">Art. 4(1) RGPD — hachage SHA-256</w:t>
            </w:r>
          </w:p>
        </w:tc>
      </w:tr>
    </w:tbl>
    <w:p>
      <w:pPr>
        <w:spacing w:after="0" w:before="240"/>
      </w:pPr>
    </w:p>
    <w:p>
      <w:pPr>
        <w:pStyle w:val="Heading1"/>
        <w:spacing w:after="120" w:before="360"/>
      </w:pPr>
      <w:r>
        <w:rPr>
          <w:rFonts w:ascii="Arial" w:cs="Arial" w:eastAsia="Arial" w:hAnsi="Arial"/>
          <w:b/>
          <w:bCs/>
          <w:color w:val="1B3A5C"/>
          <w:sz w:val="32"/>
          <w:szCs w:val="32"/>
        </w:rPr>
        <w:t xml:space="preserve">2. Profiling Initial du Dataset Brut</w:t>
      </w:r>
    </w:p>
    <w:p>
      <w:pPr>
        <w:pBdr>
          <w:bottom w:val="single" w:color="2E75B6" w:sz="6" w:space="1"/>
        </w:pBdr>
        <w:spacing w:after="60" w:before="60"/>
      </w:pPr>
    </w:p>
    <w:p>
      <w:pPr>
        <w:pStyle w:val="Heading2"/>
        <w:spacing w:after="80" w:before="240"/>
      </w:pPr>
      <w:r>
        <w:rPr>
          <w:rFonts w:ascii="Arial" w:cs="Arial" w:eastAsia="Arial" w:hAnsi="Arial"/>
          <w:b/>
          <w:bCs/>
          <w:color w:val="2E75B6"/>
          <w:sz w:val="26"/>
          <w:szCs w:val="26"/>
        </w:rPr>
        <w:t xml:space="preserve">2.1  Shape et caractéristiques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12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12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Observations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bCs/>
                <w:color w:val="1B3A5C"/>
                <w:sz w:val="20"/>
                <w:szCs w:val="20"/>
              </w:rPr>
              <w:t xml:space="preserve">8 742 lignes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180 jours de données</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Colonnes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bCs/>
                <w:color w:val="1B3A5C"/>
                <w:sz w:val="20"/>
                <w:szCs w:val="20"/>
              </w:rPr>
              <w:t xml:space="preserve">20 colonnes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3 sources : Bloomberg, Murex, Refinitiv</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Contreparties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bCs/>
                <w:color w:val="1B3A5C"/>
                <w:sz w:val="20"/>
                <w:szCs w:val="20"/>
              </w:rPr>
              <w:t xml:space="preserve">47 entités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Entreprises en portefeuille</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NaN global estimé</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~15-20%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Avant nettoyage — sentinelles incluses</w:t>
            </w:r>
          </w:p>
        </w:tc>
      </w:tr>
    </w:tbl>
    <w:p>
      <w:pPr>
        <w:spacing w:after="0" w:before="200"/>
      </w:pPr>
    </w:p>
    <w:p>
      <w:pPr>
        <w:pStyle w:val="Heading2"/>
        <w:spacing w:after="80" w:before="240"/>
      </w:pPr>
      <w:r>
        <w:rPr>
          <w:rFonts w:ascii="Arial" w:cs="Arial" w:eastAsia="Arial" w:hAnsi="Arial"/>
          <w:b/>
          <w:bCs/>
          <w:color w:val="2E75B6"/>
          <w:sz w:val="26"/>
          <w:szCs w:val="26"/>
        </w:rPr>
        <w:t xml:space="preserve">2.2  Taux de valeurs manquantes par colonne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00"/>
        <w:gridCol w:w="5460"/>
      </w:tblGrid>
      <w:tr>
        <w:trPr>
          <w:tblHeader/>
        </w:trPr>
        <w:tc>
          <w:tcPr>
            <w:tcW w:type="dxa" w:w="20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9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Taux NaN</w:t>
            </w:r>
          </w:p>
        </w:tc>
        <w:tc>
          <w:tcPr>
            <w:tcW w:type="dxa" w:w="10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Criticité</w:t>
            </w:r>
          </w:p>
        </w:tc>
        <w:tc>
          <w:tcPr>
            <w:tcW w:type="dxa" w:w="546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Stratégie</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credit_rating</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~15%</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5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Imputé 'nr'/'d' selon default_flag</w:t>
            </w:r>
          </w:p>
        </w:tc>
      </w:tr>
      <w:tr>
        <w:tc>
          <w:tcPr>
            <w:tcW w:type="dxa" w:w="2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volatility_30d</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~15%</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5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Imputé médiane + flag _was_missing</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mid_price</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~5%</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5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Recalcul (bid+ask)/2 si disponibles</w:t>
            </w:r>
          </w:p>
        </w:tc>
      </w:tr>
      <w:tr>
        <w:tc>
          <w:tcPr>
            <w:tcW w:type="dxa" w:w="2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settlement_date</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~3%</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A32D2D"/>
                <w:sz w:val="20"/>
                <w:szCs w:val="20"/>
              </w:rPr>
              <w:t xml:space="preserve">CRITIQUE</w:t>
            </w:r>
          </w:p>
        </w:tc>
        <w:tc>
          <w:tcPr>
            <w:tcW w:type="dxa" w:w="5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Recalcul T+2 jours ouvrés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sector</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~3%</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0F6E56"/>
                <w:sz w:val="20"/>
                <w:szCs w:val="20"/>
              </w:rPr>
              <w:t xml:space="preserve">MOYENNE</w:t>
            </w:r>
          </w:p>
        </w:tc>
        <w:tc>
          <w:tcPr>
            <w:tcW w:type="dxa" w:w="5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Imputé mode + flag</w:t>
            </w:r>
          </w:p>
        </w:tc>
      </w:tr>
      <w:tr>
        <w:tc>
          <w:tcPr>
            <w:tcW w:type="dxa" w:w="2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country_risk</w:t>
            </w:r>
          </w:p>
        </w:tc>
        <w:tc>
          <w:tcPr>
            <w:tcW w:type="dxa" w:w="9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~2%</w:t>
            </w:r>
          </w:p>
        </w:tc>
        <w:tc>
          <w:tcPr>
            <w:tcW w:type="dxa" w:w="100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0F6E56"/>
                <w:sz w:val="20"/>
                <w:szCs w:val="20"/>
              </w:rPr>
              <w:t xml:space="preserve">MOYENNE</w:t>
            </w:r>
          </w:p>
        </w:tc>
        <w:tc>
          <w:tcPr>
            <w:tcW w:type="dxa" w:w="546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val="false"/>
                <w:bCs w:val="false"/>
                <w:color w:val="444441"/>
                <w:sz w:val="20"/>
                <w:szCs w:val="20"/>
              </w:rPr>
              <w:t xml:space="preserve">Imputé médiane + flag</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bid / ask</w:t>
            </w:r>
          </w:p>
        </w:tc>
        <w:tc>
          <w:tcPr>
            <w:tcW w:type="dxa" w:w="9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~2%</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BA7517"/>
                <w:sz w:val="20"/>
                <w:szCs w:val="20"/>
              </w:rPr>
              <w:t xml:space="preserve">HAUTE</w:t>
            </w:r>
          </w:p>
        </w:tc>
        <w:tc>
          <w:tcPr>
            <w:tcW w:type="dxa" w:w="54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val="false"/>
                <w:bCs w:val="false"/>
                <w:color w:val="444441"/>
                <w:sz w:val="20"/>
                <w:szCs w:val="20"/>
              </w:rPr>
              <w:t xml:space="preserve">NaN après correction fourchette inversée</w:t>
            </w:r>
          </w:p>
        </w:tc>
      </w:tr>
    </w:tbl>
    <w:p>
      <w:pPr>
        <w:spacing w:after="0" w:before="200"/>
      </w:pPr>
    </w:p>
    <w:p>
      <w:pPr>
        <w:pStyle w:val="Heading2"/>
        <w:spacing w:after="80" w:before="240"/>
      </w:pPr>
      <w:r>
        <w:rPr>
          <w:rFonts w:ascii="Arial" w:cs="Arial" w:eastAsia="Arial" w:hAnsi="Arial"/>
          <w:b/>
          <w:bCs/>
          <w:color w:val="2E75B6"/>
          <w:sz w:val="26"/>
          <w:szCs w:val="26"/>
        </w:rPr>
        <w:t xml:space="preserve">2.3  Corrélations bid / ask / mid_price</w:t>
      </w:r>
    </w:p>
    <w:p>
      <w:pPr>
        <w:spacing w:after="60" w:before="60"/>
      </w:pPr>
      <w:r>
        <w:rPr>
          <w:rFonts w:ascii="Arial" w:cs="Arial" w:eastAsia="Arial" w:hAnsi="Arial"/>
          <w:color w:val="444441"/>
          <w:sz w:val="22"/>
          <w:szCs w:val="22"/>
        </w:rPr>
        <w:t xml:space="preserve">Les trois colonnes de prix Bloomberg présentent une corrélation quasi-parfaite (&gt;0.998), ce qui confirme la règle mid_price = (bid+ask)/2. Les ~200 lignes incohérentes sont des erreurs de calcul à la source.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bid</w:t>
            </w:r>
          </w:p>
        </w:tc>
        <w:tc>
          <w:tcPr>
            <w:tcW w:type="dxa" w:w="234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ask</w:t>
            </w:r>
          </w:p>
        </w:tc>
        <w:tc>
          <w:tcPr>
            <w:tcW w:type="dxa" w:w="234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mid_price</w:t>
            </w:r>
          </w:p>
        </w:tc>
      </w:tr>
      <w:tr>
        <w:tc>
          <w:tcPr>
            <w:tcW w:type="dxa" w:w="234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1B3A5C"/>
                <w:sz w:val="20"/>
                <w:szCs w:val="20"/>
              </w:rPr>
              <w:t xml:space="preserve">bid</w:t>
            </w:r>
          </w:p>
        </w:tc>
        <w:tc>
          <w:tcPr>
            <w:tcW w:type="dxa" w:w="23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1.000</w:t>
            </w:r>
          </w:p>
        </w:tc>
        <w:tc>
          <w:tcPr>
            <w:tcW w:type="dxa" w:w="23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6E56"/>
                <w:sz w:val="20"/>
                <w:szCs w:val="20"/>
              </w:rPr>
              <w:t xml:space="preserve">0.998</w:t>
            </w:r>
          </w:p>
        </w:tc>
        <w:tc>
          <w:tcPr>
            <w:tcW w:type="dxa" w:w="23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6E56"/>
                <w:sz w:val="20"/>
                <w:szCs w:val="20"/>
              </w:rPr>
              <w:t xml:space="preserve">0.999</w:t>
            </w:r>
          </w:p>
        </w:tc>
      </w:tr>
      <w:tr>
        <w:tc>
          <w:tcPr>
            <w:tcW w:type="dxa" w:w="234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1B3A5C"/>
                <w:sz w:val="20"/>
                <w:szCs w:val="20"/>
              </w:rPr>
              <w:t xml:space="preserve">ask</w:t>
            </w:r>
          </w:p>
        </w:tc>
        <w:tc>
          <w:tcPr>
            <w:tcW w:type="dxa" w:w="234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pPr>
              <w:jc w:val="center"/>
            </w:pPr>
            <w:r>
              <w:rPr>
                <w:rFonts w:ascii="Arial" w:cs="Arial" w:eastAsia="Arial" w:hAnsi="Arial"/>
                <w:b w:val="false"/>
                <w:bCs w:val="false"/>
                <w:color w:val="0F6E56"/>
                <w:sz w:val="20"/>
                <w:szCs w:val="20"/>
              </w:rPr>
              <w:t xml:space="preserve">0.998</w:t>
            </w:r>
          </w:p>
        </w:tc>
        <w:tc>
          <w:tcPr>
            <w:tcW w:type="dxa" w:w="234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1.000</w:t>
            </w:r>
          </w:p>
        </w:tc>
        <w:tc>
          <w:tcPr>
            <w:tcW w:type="dxa" w:w="234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pPr>
              <w:jc w:val="center"/>
            </w:pPr>
            <w:r>
              <w:rPr>
                <w:rFonts w:ascii="Arial" w:cs="Arial" w:eastAsia="Arial" w:hAnsi="Arial"/>
                <w:b w:val="false"/>
                <w:bCs w:val="false"/>
                <w:color w:val="0F6E56"/>
                <w:sz w:val="20"/>
                <w:szCs w:val="20"/>
              </w:rPr>
              <w:t xml:space="preserve">0.999</w:t>
            </w:r>
          </w:p>
        </w:tc>
      </w:tr>
      <w:tr>
        <w:tc>
          <w:tcPr>
            <w:tcW w:type="dxa" w:w="2340"/>
            <w:tcBorders>
              <w:top w:val="single" w:color="D3D1C7" w:sz="1"/>
              <w:left w:val="single" w:color="D3D1C7" w:sz="1"/>
              <w:bottom w:val="single" w:color="D3D1C7" w:sz="1"/>
              <w:right w:val="single" w:color="D3D1C7" w:sz="1"/>
            </w:tcBorders>
            <w:shd w:fill="F2F4F7" w:val="clear"/>
            <w:tcMar>
              <w:top w:type="dxa" w:w="60"/>
              <w:left w:type="dxa" w:w="100"/>
              <w:bottom w:type="dxa" w:w="60"/>
              <w:right w:type="dxa" w:w="100"/>
            </w:tcMar>
          </w:tcPr>
          <w:p>
            <w:r>
              <w:rPr>
                <w:rFonts w:ascii="Arial" w:cs="Arial" w:eastAsia="Arial" w:hAnsi="Arial"/>
                <w:b/>
                <w:bCs/>
                <w:color w:val="1B3A5C"/>
                <w:sz w:val="20"/>
                <w:szCs w:val="20"/>
              </w:rPr>
              <w:t xml:space="preserve">mid_price</w:t>
            </w:r>
          </w:p>
        </w:tc>
        <w:tc>
          <w:tcPr>
            <w:tcW w:type="dxa" w:w="23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6E56"/>
                <w:sz w:val="20"/>
                <w:szCs w:val="20"/>
              </w:rPr>
              <w:t xml:space="preserve">0.999</w:t>
            </w:r>
          </w:p>
        </w:tc>
        <w:tc>
          <w:tcPr>
            <w:tcW w:type="dxa" w:w="23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6E56"/>
                <w:sz w:val="20"/>
                <w:szCs w:val="20"/>
              </w:rPr>
              <w:t xml:space="preserve">0.999</w:t>
            </w:r>
          </w:p>
        </w:tc>
        <w:tc>
          <w:tcPr>
            <w:tcW w:type="dxa" w:w="234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1.000</w:t>
            </w:r>
          </w:p>
        </w:tc>
      </w:tr>
    </w:tbl>
    <w:p>
      <w:pPr>
        <w:spacing w:after="0" w:before="200"/>
      </w:pPr>
    </w:p>
    <w:p>
      <w:pPr>
        <w:pStyle w:val="Heading2"/>
        <w:spacing w:after="80" w:before="240"/>
      </w:pPr>
      <w:r>
        <w:rPr>
          <w:rFonts w:ascii="Arial" w:cs="Arial" w:eastAsia="Arial" w:hAnsi="Arial"/>
          <w:b/>
          <w:bCs/>
          <w:color w:val="2E75B6"/>
          <w:sz w:val="26"/>
          <w:szCs w:val="26"/>
        </w:rPr>
        <w:t xml:space="preserve">2.4  Distributions numériques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rPr>
          <w:tblHeader/>
        </w:trPr>
        <w:tc>
          <w:tcPr>
            <w:tcW w:type="dxa" w:w="180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20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120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P25</w:t>
            </w:r>
          </w:p>
        </w:tc>
        <w:tc>
          <w:tcPr>
            <w:tcW w:type="dxa" w:w="120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Médiane</w:t>
            </w:r>
          </w:p>
        </w:tc>
        <w:tc>
          <w:tcPr>
            <w:tcW w:type="dxa" w:w="120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P75</w:t>
            </w:r>
          </w:p>
        </w:tc>
        <w:tc>
          <w:tcPr>
            <w:tcW w:type="dxa" w:w="120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1560"/>
            <w:tcBorders>
              <w:top w:val="single" w:color="D3D1C7" w:sz="1"/>
              <w:left w:val="single" w:color="D3D1C7" w:sz="1"/>
              <w:bottom w:val="single" w:color="D3D1C7" w:sz="1"/>
              <w:right w:val="single" w:color="D3D1C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Skewness</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notional_eur</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1 K€</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80 K€</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250 K€</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900 K€</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50 M€</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Élevée (distribution log-normale)</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price</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1.2</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45</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120</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380</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4 200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Modérée</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volatility_30d</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0.1%</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8%</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18%</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35%</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195%</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Positive (queues épaisses)</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country_risk</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5</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20</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42</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65</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98</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vAlign w:val="center"/>
          </w:tcPr>
          <w:p>
            <w:pPr>
              <w:jc w:val="left"/>
            </w:pPr>
            <w:r>
              <w:rPr>
                <w:rFonts w:ascii="Arial" w:cs="Arial" w:eastAsia="Arial" w:hAnsi="Arial"/>
                <w:b w:val="false"/>
                <w:bCs w:val="false"/>
                <w:color w:val="444441"/>
                <w:sz w:val="20"/>
                <w:szCs w:val="20"/>
              </w:rPr>
              <w:t xml:space="preserve">Faible</w:t>
            </w:r>
          </w:p>
        </w:tc>
      </w:tr>
    </w:tbl>
    <w:p>
      <w:pPr>
        <w:spacing w:after="0" w:before="240"/>
      </w:pPr>
    </w:p>
    <w:p>
      <w:pPr>
        <w:pStyle w:val="Heading1"/>
        <w:spacing w:after="120" w:before="360"/>
      </w:pPr>
      <w:r>
        <w:rPr>
          <w:rFonts w:ascii="Arial" w:cs="Arial" w:eastAsia="Arial" w:hAnsi="Arial"/>
          <w:b/>
          <w:bCs/>
          <w:color w:val="1B3A5C"/>
          <w:sz w:val="32"/>
          <w:szCs w:val="32"/>
        </w:rPr>
        <w:t xml:space="preserve">3. Liste Exhaustive des 11 Anomalies</w:t>
      </w:r>
    </w:p>
    <w:p>
      <w:pPr>
        <w:pBdr>
          <w:bottom w:val="single" w:color="2E75B6" w:sz="6" w:space="1"/>
        </w:pBdr>
        <w:spacing w:after="60" w:before="60"/>
      </w:pPr>
    </w:p>
    <w:p>
      <w:pPr>
        <w:spacing w:after="60" w:before="60"/>
      </w:pPr>
      <w:r>
        <w:rPr>
          <w:rFonts w:ascii="Arial" w:cs="Arial" w:eastAsia="Arial" w:hAnsi="Arial"/>
          <w:color w:val="444441"/>
          <w:sz w:val="22"/>
          <w:szCs w:val="22"/>
        </w:rPr>
        <w:t xml:space="preserve">Le dataset contient 11 types d'anomalies de complexité croissante. Certaines sont classiques (niveau 1), d'autres requièrent une connaissance du domaine financier (niveaux 2 et 3).</w:t>
      </w:r>
    </w:p>
    <w:p>
      <w:pPr>
        <w:spacing w:after="0" w:before="120"/>
      </w:pP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500"/>
        <w:gridCol w:w="500"/>
        <w:gridCol w:w="500"/>
        <w:gridCol w:w="900"/>
        <w:gridCol w:w="2160"/>
        <w:gridCol w:w="1900"/>
      </w:tblGrid>
      <w:tr>
        <w:trPr>
          <w:tblHeader/>
        </w:trPr>
        <w:tc>
          <w:tcPr>
            <w:tcW w:type="dxa" w:w="4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Niv.</w:t>
            </w:r>
          </w:p>
        </w:tc>
        <w:tc>
          <w:tcPr>
            <w:tcW w:type="dxa" w:w="10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15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Colonne(s)</w:t>
            </w:r>
          </w:p>
        </w:tc>
        <w:tc>
          <w:tcPr>
            <w:tcW w:type="dxa" w:w="5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 lignes</w:t>
            </w:r>
          </w:p>
        </w:tc>
        <w:tc>
          <w:tcPr>
            <w:tcW w:type="dxa" w:w="5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Pct</w:t>
            </w:r>
          </w:p>
        </w:tc>
        <w:tc>
          <w:tcPr>
            <w:tcW w:type="dxa" w:w="9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Criticité</w:t>
            </w:r>
          </w:p>
        </w:tc>
        <w:tc>
          <w:tcPr>
            <w:tcW w:type="dxa" w:w="216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Traitement</w:t>
            </w:r>
          </w:p>
        </w:tc>
      </w:tr>
      <w:tr>
        <w:tc>
          <w:tcPr>
            <w:tcW w:type="dxa" w:w="4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2E75B6"/>
                <w:sz w:val="18"/>
                <w:szCs w:val="18"/>
              </w:rPr>
              <w:t xml:space="preserve">1</w:t>
            </w:r>
          </w:p>
        </w:tc>
        <w:tc>
          <w:tcPr>
            <w:tcW w:type="dxa" w:w="10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Doublon</w:t>
            </w:r>
          </w:p>
        </w:tc>
        <w:tc>
          <w:tcPr>
            <w:tcW w:type="dxa" w:w="1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trade_id</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~200</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~2.3%</w:t>
            </w:r>
          </w:p>
        </w:tc>
        <w:tc>
          <w:tcPr>
            <w:tcW w:type="dxa" w:w="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bCs/>
                <w:color w:val="A32D2D"/>
                <w:sz w:val="18"/>
                <w:szCs w:val="18"/>
              </w:rPr>
              <w:t xml:space="preserve">CRITIQUE</w:t>
            </w:r>
          </w:p>
        </w:tc>
        <w:tc>
          <w:tcPr>
            <w:tcW w:type="dxa" w:w="216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Lignes identiques — migration Murex</w:t>
            </w:r>
          </w:p>
        </w:tc>
        <w:tc>
          <w:tcPr>
            <w:tcW w:type="dxa" w:w="1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drop_duplicates(keep='first') + tri DESC trade_date</w:t>
            </w:r>
          </w:p>
        </w:tc>
      </w:tr>
      <w:tr>
        <w:tc>
          <w:tcPr>
            <w:tcW w:type="dxa" w:w="4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2E75B6"/>
                <w:sz w:val="18"/>
                <w:szCs w:val="18"/>
              </w:rPr>
              <w:t xml:space="preserve">1</w:t>
            </w:r>
          </w:p>
        </w:tc>
        <w:tc>
          <w:tcPr>
            <w:tcW w:type="dxa" w:w="10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Doublon</w:t>
            </w:r>
          </w:p>
        </w:tc>
        <w:tc>
          <w:tcPr>
            <w:tcW w:type="dxa" w:w="1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trade_id</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~200</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~2.3%</w:t>
            </w:r>
          </w:p>
        </w:tc>
        <w:tc>
          <w:tcPr>
            <w:tcW w:type="dxa" w:w="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bCs/>
                <w:color w:val="A32D2D"/>
                <w:sz w:val="18"/>
                <w:szCs w:val="18"/>
              </w:rPr>
              <w:t xml:space="preserve">CRITIQUE</w:t>
            </w:r>
          </w:p>
        </w:tc>
        <w:tc>
          <w:tcPr>
            <w:tcW w:type="dxa" w:w="216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Même ID, contenu différent — amendements</w:t>
            </w:r>
          </w:p>
        </w:tc>
        <w:tc>
          <w:tcPr>
            <w:tcW w:type="dxa" w:w="1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Tri DESC + drop_duplicates(subset='trade_id')</w:t>
            </w:r>
          </w:p>
        </w:tc>
      </w:tr>
      <w:tr>
        <w:tc>
          <w:tcPr>
            <w:tcW w:type="dxa" w:w="4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2E75B6"/>
                <w:sz w:val="18"/>
                <w:szCs w:val="18"/>
              </w:rPr>
              <w:t xml:space="preserve">1</w:t>
            </w:r>
          </w:p>
        </w:tc>
        <w:tc>
          <w:tcPr>
            <w:tcW w:type="dxa" w:w="10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Sentinelle txt</w:t>
            </w:r>
          </w:p>
        </w:tc>
        <w:tc>
          <w:tcPr>
            <w:tcW w:type="dxa" w:w="1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colonnes object</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~400</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~4.6%</w:t>
            </w:r>
          </w:p>
        </w:tc>
        <w:tc>
          <w:tcPr>
            <w:tcW w:type="dxa" w:w="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bCs/>
                <w:color w:val="BA7517"/>
                <w:sz w:val="18"/>
                <w:szCs w:val="18"/>
              </w:rPr>
              <w:t xml:space="preserve">HAUTE</w:t>
            </w:r>
          </w:p>
        </w:tc>
        <w:tc>
          <w:tcPr>
            <w:tcW w:type="dxa" w:w="216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N/A, #N/A, -, NULL, nd, #VALUE!, ... dans exports</w:t>
            </w:r>
          </w:p>
        </w:tc>
        <w:tc>
          <w:tcPr>
            <w:tcW w:type="dxa" w:w="1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NA_VALUES à l'import + scan regex résiduel</w:t>
            </w:r>
          </w:p>
        </w:tc>
      </w:tr>
      <w:tr>
        <w:tc>
          <w:tcPr>
            <w:tcW w:type="dxa" w:w="4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2E75B6"/>
                <w:sz w:val="18"/>
                <w:szCs w:val="18"/>
              </w:rPr>
              <w:t xml:space="preserve">1</w:t>
            </w:r>
          </w:p>
        </w:tc>
        <w:tc>
          <w:tcPr>
            <w:tcW w:type="dxa" w:w="10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Sentinelle num</w:t>
            </w:r>
          </w:p>
        </w:tc>
        <w:tc>
          <w:tcPr>
            <w:tcW w:type="dxa" w:w="1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country_risk / volatility_30d</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~150</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~1.7%</w:t>
            </w:r>
          </w:p>
        </w:tc>
        <w:tc>
          <w:tcPr>
            <w:tcW w:type="dxa" w:w="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bCs/>
                <w:color w:val="BA7517"/>
                <w:sz w:val="18"/>
                <w:szCs w:val="18"/>
              </w:rPr>
              <w:t xml:space="preserve">HAUTE</w:t>
            </w:r>
          </w:p>
        </w:tc>
        <w:tc>
          <w:tcPr>
            <w:tcW w:type="dxa" w:w="216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99999 = manquant Refinitiv, 0.0 = vol non calculée</w:t>
            </w:r>
          </w:p>
        </w:tc>
        <w:tc>
          <w:tcPr>
            <w:tcW w:type="dxa" w:w="1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NUMERIC_SENTINELS dict → NaN avant cast</w:t>
            </w:r>
          </w:p>
        </w:tc>
      </w:tr>
      <w:tr>
        <w:tc>
          <w:tcPr>
            <w:tcW w:type="dxa" w:w="4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2E75B6"/>
                <w:sz w:val="18"/>
                <w:szCs w:val="18"/>
              </w:rPr>
              <w:t xml:space="preserve">1</w:t>
            </w:r>
          </w:p>
        </w:tc>
        <w:tc>
          <w:tcPr>
            <w:tcW w:type="dxa" w:w="10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Format</w:t>
            </w:r>
          </w:p>
        </w:tc>
        <w:tc>
          <w:tcPr>
            <w:tcW w:type="dxa" w:w="1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asset_class</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~300</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~3.4%</w:t>
            </w:r>
          </w:p>
        </w:tc>
        <w:tc>
          <w:tcPr>
            <w:tcW w:type="dxa" w:w="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bCs/>
                <w:color w:val="BA7517"/>
                <w:sz w:val="18"/>
                <w:szCs w:val="18"/>
              </w:rPr>
              <w:t xml:space="preserve">HAUTE</w:t>
            </w:r>
          </w:p>
        </w:tc>
        <w:tc>
          <w:tcPr>
            <w:tcW w:type="dxa" w:w="216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Equity/EQUITY/EQ/action/bond/FI — casse incohérente</w:t>
            </w:r>
          </w:p>
        </w:tc>
        <w:tc>
          <w:tcPr>
            <w:tcW w:type="dxa" w:w="1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ASSET_CLASS_MAP + .str.lower().str.strip() + .map()</w:t>
            </w:r>
          </w:p>
        </w:tc>
      </w:tr>
      <w:tr>
        <w:tc>
          <w:tcPr>
            <w:tcW w:type="dxa" w:w="4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2E75B6"/>
                <w:sz w:val="18"/>
                <w:szCs w:val="18"/>
              </w:rPr>
              <w:t xml:space="preserve">1</w:t>
            </w:r>
          </w:p>
        </w:tc>
        <w:tc>
          <w:tcPr>
            <w:tcW w:type="dxa" w:w="10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Val. manquante</w:t>
            </w:r>
          </w:p>
        </w:tc>
        <w:tc>
          <w:tcPr>
            <w:tcW w:type="dxa" w:w="1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credit_rating / volatility_30d</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~1300</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~15%</w:t>
            </w:r>
          </w:p>
        </w:tc>
        <w:tc>
          <w:tcPr>
            <w:tcW w:type="dxa" w:w="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bCs/>
                <w:color w:val="BA7517"/>
                <w:sz w:val="18"/>
                <w:szCs w:val="18"/>
              </w:rPr>
              <w:t xml:space="preserve">HAUTE</w:t>
            </w:r>
          </w:p>
        </w:tc>
        <w:tc>
          <w:tcPr>
            <w:tcW w:type="dxa" w:w="216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~15% NaN structurels sur les deux colonnes</w:t>
            </w:r>
          </w:p>
        </w:tc>
        <w:tc>
          <w:tcPr>
            <w:tcW w:type="dxa" w:w="1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Médiane/mode + flag _was_missing + cas spécial nr/d</w:t>
            </w:r>
          </w:p>
        </w:tc>
      </w:tr>
      <w:tr>
        <w:tc>
          <w:tcPr>
            <w:tcW w:type="dxa" w:w="4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2E75B6"/>
                <w:sz w:val="18"/>
                <w:szCs w:val="18"/>
              </w:rPr>
              <w:t xml:space="preserve">2</w:t>
            </w:r>
          </w:p>
        </w:tc>
        <w:tc>
          <w:tcPr>
            <w:tcW w:type="dxa" w:w="10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Incoh. métier</w:t>
            </w:r>
          </w:p>
        </w:tc>
        <w:tc>
          <w:tcPr>
            <w:tcW w:type="dxa" w:w="1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settlement_date / trade_date</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~80</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~0.9%</w:t>
            </w:r>
          </w:p>
        </w:tc>
        <w:tc>
          <w:tcPr>
            <w:tcW w:type="dxa" w:w="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bCs/>
                <w:color w:val="A32D2D"/>
                <w:sz w:val="18"/>
                <w:szCs w:val="18"/>
              </w:rPr>
              <w:t xml:space="preserve">CRITIQUE</w:t>
            </w:r>
          </w:p>
        </w:tc>
        <w:tc>
          <w:tcPr>
            <w:tcW w:type="dxa" w:w="216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settlement &lt; trade — violation CSDR T+2</w:t>
            </w:r>
          </w:p>
        </w:tc>
        <w:tc>
          <w:tcPr>
            <w:tcW w:type="dxa" w:w="1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settlement_date = NaT → recalcul T+2 (Étape 8)</w:t>
            </w:r>
          </w:p>
        </w:tc>
      </w:tr>
      <w:tr>
        <w:tc>
          <w:tcPr>
            <w:tcW w:type="dxa" w:w="4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2E75B6"/>
                <w:sz w:val="18"/>
                <w:szCs w:val="18"/>
              </w:rPr>
              <w:t xml:space="preserve">2</w:t>
            </w:r>
          </w:p>
        </w:tc>
        <w:tc>
          <w:tcPr>
            <w:tcW w:type="dxa" w:w="10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Incoh. métier</w:t>
            </w:r>
          </w:p>
        </w:tc>
        <w:tc>
          <w:tcPr>
            <w:tcW w:type="dxa" w:w="1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bid / ask</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~120</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~1.4%</w:t>
            </w:r>
          </w:p>
        </w:tc>
        <w:tc>
          <w:tcPr>
            <w:tcW w:type="dxa" w:w="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bCs/>
                <w:color w:val="A32D2D"/>
                <w:sz w:val="18"/>
                <w:szCs w:val="18"/>
              </w:rPr>
              <w:t xml:space="preserve">CRITIQUE</w:t>
            </w:r>
          </w:p>
        </w:tc>
        <w:tc>
          <w:tcPr>
            <w:tcW w:type="dxa" w:w="216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bid ≥ ask — fourchette inversée impossible</w:t>
            </w:r>
          </w:p>
        </w:tc>
        <w:tc>
          <w:tcPr>
            <w:tcW w:type="dxa" w:w="1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bid = NaN ET ask = NaN (source inconnue)</w:t>
            </w:r>
          </w:p>
        </w:tc>
      </w:tr>
      <w:tr>
        <w:tc>
          <w:tcPr>
            <w:tcW w:type="dxa" w:w="4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2E75B6"/>
                <w:sz w:val="18"/>
                <w:szCs w:val="18"/>
              </w:rPr>
              <w:t xml:space="preserve">2</w:t>
            </w:r>
          </w:p>
        </w:tc>
        <w:tc>
          <w:tcPr>
            <w:tcW w:type="dxa" w:w="10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Incoh. métier</w:t>
            </w:r>
          </w:p>
        </w:tc>
        <w:tc>
          <w:tcPr>
            <w:tcW w:type="dxa" w:w="1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mid_price</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~200</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~2.3%</w:t>
            </w:r>
          </w:p>
        </w:tc>
        <w:tc>
          <w:tcPr>
            <w:tcW w:type="dxa" w:w="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bCs/>
                <w:color w:val="BA7517"/>
                <w:sz w:val="18"/>
                <w:szCs w:val="18"/>
              </w:rPr>
              <w:t xml:space="preserve">HAUTE</w:t>
            </w:r>
          </w:p>
        </w:tc>
        <w:tc>
          <w:tcPr>
            <w:tcW w:type="dxa" w:w="216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mid ≠ (bid+ask)/2 à plus de 1%</w:t>
            </w:r>
          </w:p>
        </w:tc>
        <w:tc>
          <w:tcPr>
            <w:tcW w:type="dxa" w:w="1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Recalcul systématique mid_price = (bid+ask)/2</w:t>
            </w:r>
          </w:p>
        </w:tc>
      </w:tr>
      <w:tr>
        <w:tc>
          <w:tcPr>
            <w:tcW w:type="dxa" w:w="4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2E75B6"/>
                <w:sz w:val="18"/>
                <w:szCs w:val="18"/>
              </w:rPr>
              <w:t xml:space="preserve">2</w:t>
            </w:r>
          </w:p>
        </w:tc>
        <w:tc>
          <w:tcPr>
            <w:tcW w:type="dxa" w:w="10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Incoh. métier</w:t>
            </w:r>
          </w:p>
        </w:tc>
        <w:tc>
          <w:tcPr>
            <w:tcW w:type="dxa" w:w="1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price</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~150</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~1.7%</w:t>
            </w:r>
          </w:p>
        </w:tc>
        <w:tc>
          <w:tcPr>
            <w:tcW w:type="dxa" w:w="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bCs/>
                <w:color w:val="BA7517"/>
                <w:sz w:val="18"/>
                <w:szCs w:val="18"/>
              </w:rPr>
              <w:t xml:space="preserve">HAUTE</w:t>
            </w:r>
          </w:p>
        </w:tc>
        <w:tc>
          <w:tcPr>
            <w:tcW w:type="dxa" w:w="216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price hors [bid*0.995, ask*1.005]</w:t>
            </w:r>
          </w:p>
        </w:tc>
        <w:tc>
          <w:tcPr>
            <w:tcW w:type="dxa" w:w="1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Substitution par mid_price (Étape 5d)</w:t>
            </w:r>
          </w:p>
        </w:tc>
      </w:tr>
      <w:tr>
        <w:tc>
          <w:tcPr>
            <w:tcW w:type="dxa" w:w="4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2E75B6"/>
                <w:sz w:val="18"/>
                <w:szCs w:val="18"/>
              </w:rPr>
              <w:t xml:space="preserve">2</w:t>
            </w:r>
          </w:p>
        </w:tc>
        <w:tc>
          <w:tcPr>
            <w:tcW w:type="dxa" w:w="10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Incoh. métier</w:t>
            </w:r>
          </w:p>
        </w:tc>
        <w:tc>
          <w:tcPr>
            <w:tcW w:type="dxa" w:w="1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notional_eur</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~40</w:t>
            </w:r>
          </w:p>
        </w:tc>
        <w:tc>
          <w:tcPr>
            <w:tcW w:type="dxa" w:w="5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8"/>
                <w:szCs w:val="18"/>
              </w:rPr>
              <w:t xml:space="preserve">~0.5%</w:t>
            </w:r>
          </w:p>
        </w:tc>
        <w:tc>
          <w:tcPr>
            <w:tcW w:type="dxa" w:w="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bCs/>
                <w:color w:val="A32D2D"/>
                <w:sz w:val="18"/>
                <w:szCs w:val="18"/>
              </w:rPr>
              <w:t xml:space="preserve">CRITIQUE</w:t>
            </w:r>
          </w:p>
        </w:tc>
        <w:tc>
          <w:tcPr>
            <w:tcW w:type="dxa" w:w="216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Notionnel négatif sans flag short</w:t>
            </w:r>
          </w:p>
        </w:tc>
        <w:tc>
          <w:tcPr>
            <w:tcW w:type="dxa" w:w="1900"/>
            <w:tcBorders>
              <w:top w:val="single" w:color="D3D1C7" w:sz="1"/>
              <w:left w:val="single" w:color="D3D1C7" w:sz="1"/>
              <w:bottom w:val="single" w:color="D3D1C7" w:sz="1"/>
              <w:right w:val="single" w:color="D3D1C7" w:sz="1"/>
            </w:tcBorders>
            <w:shd w:fill="FFFFFF" w:val="clear"/>
            <w:tcMar>
              <w:top w:type="dxa" w:w="50"/>
              <w:left w:type="dxa" w:w="80"/>
              <w:bottom w:type="dxa" w:w="50"/>
              <w:right w:type="dxa" w:w="80"/>
            </w:tcMar>
          </w:tcPr>
          <w:p>
            <w:r>
              <w:rPr>
                <w:rFonts w:ascii="Arial" w:cs="Arial" w:eastAsia="Arial" w:hAnsi="Arial"/>
                <w:b w:val="false"/>
                <w:bCs w:val="false"/>
                <w:color w:val="444441"/>
                <w:sz w:val="16"/>
                <w:szCs w:val="16"/>
              </w:rPr>
              <w:t xml:space="preserve">abs(notional_eur) — inversion signe export</w:t>
            </w:r>
          </w:p>
        </w:tc>
      </w:tr>
      <w:tr>
        <w:tc>
          <w:tcPr>
            <w:tcW w:type="dxa" w:w="4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2E75B6"/>
                <w:sz w:val="18"/>
                <w:szCs w:val="18"/>
              </w:rPr>
              <w:t xml:space="preserve">3</w:t>
            </w:r>
          </w:p>
        </w:tc>
        <w:tc>
          <w:tcPr>
            <w:tcW w:type="dxa" w:w="10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Incoh. avancée</w:t>
            </w:r>
          </w:p>
        </w:tc>
        <w:tc>
          <w:tcPr>
            <w:tcW w:type="dxa" w:w="1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credit_rating + default_flag</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~30</w:t>
            </w:r>
          </w:p>
        </w:tc>
        <w:tc>
          <w:tcPr>
            <w:tcW w:type="dxa" w:w="5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8"/>
                <w:szCs w:val="18"/>
              </w:rPr>
              <w:t xml:space="preserve">~0.3%</w:t>
            </w:r>
          </w:p>
        </w:tc>
        <w:tc>
          <w:tcPr>
            <w:tcW w:type="dxa" w:w="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bCs/>
                <w:color w:val="A32D2D"/>
                <w:sz w:val="18"/>
                <w:szCs w:val="18"/>
              </w:rPr>
              <w:t xml:space="preserve">CRITIQUE</w:t>
            </w:r>
          </w:p>
        </w:tc>
        <w:tc>
          <w:tcPr>
            <w:tcW w:type="dxa" w:w="216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AAA/AA/A + default_flag=1 — contradiction</w:t>
            </w:r>
          </w:p>
        </w:tc>
        <w:tc>
          <w:tcPr>
            <w:tcW w:type="dxa" w:w="1900"/>
            <w:tcBorders>
              <w:top w:val="single" w:color="D3D1C7" w:sz="1"/>
              <w:left w:val="single" w:color="D3D1C7" w:sz="1"/>
              <w:bottom w:val="single" w:color="D3D1C7" w:sz="1"/>
              <w:right w:val="single" w:color="D3D1C7" w:sz="1"/>
            </w:tcBorders>
            <w:shd w:fill="F2F4F7" w:val="clear"/>
            <w:tcMar>
              <w:top w:type="dxa" w:w="50"/>
              <w:left w:type="dxa" w:w="80"/>
              <w:bottom w:type="dxa" w:w="50"/>
              <w:right w:type="dxa" w:w="80"/>
            </w:tcMar>
          </w:tcPr>
          <w:p>
            <w:r>
              <w:rPr>
                <w:rFonts w:ascii="Arial" w:cs="Arial" w:eastAsia="Arial" w:hAnsi="Arial"/>
                <w:b w:val="false"/>
                <w:bCs w:val="false"/>
                <w:color w:val="444441"/>
                <w:sz w:val="16"/>
                <w:szCs w:val="16"/>
              </w:rPr>
              <w:t xml:space="preserve">credit_rating = NaN, default_flag conservé à 1</w:t>
            </w:r>
          </w:p>
        </w:tc>
      </w:tr>
    </w:tbl>
    <w:p>
      <w:pPr>
        <w:spacing w:after="0" w:before="240"/>
      </w:pPr>
    </w:p>
    <w:p>
      <w:pPr>
        <w:pStyle w:val="Heading1"/>
        <w:spacing w:after="120" w:before="360"/>
      </w:pPr>
      <w:r>
        <w:rPr>
          <w:rFonts w:ascii="Arial" w:cs="Arial" w:eastAsia="Arial" w:hAnsi="Arial"/>
          <w:b/>
          <w:bCs/>
          <w:color w:val="1B3A5C"/>
          <w:sz w:val="32"/>
          <w:szCs w:val="32"/>
        </w:rPr>
        <w:t xml:space="preserve">4. Stratégies de Traitement Argumentées</w:t>
      </w:r>
    </w:p>
    <w:p>
      <w:pPr>
        <w:pBdr>
          <w:bottom w:val="single" w:color="2E75B6" w:sz="6" w:space="1"/>
        </w:pBdr>
        <w:spacing w:after="60" w:before="60"/>
      </w:pPr>
    </w:p>
    <w:p>
      <w:pPr>
        <w:pStyle w:val="Heading2"/>
        <w:spacing w:after="80" w:before="240"/>
      </w:pPr>
      <w:r>
        <w:rPr>
          <w:rFonts w:ascii="Arial" w:cs="Arial" w:eastAsia="Arial" w:hAnsi="Arial"/>
          <w:b/>
          <w:bCs/>
          <w:color w:val="2E75B6"/>
          <w:sz w:val="26"/>
          <w:szCs w:val="26"/>
        </w:rPr>
        <w:t xml:space="preserve">4.1  Principes directeurs</w:t>
      </w:r>
    </w:p>
    <w:p>
      <w:pPr>
        <w:pStyle w:val="ListParagraph"/>
        <w:numPr>
          <w:ilvl w:val="0"/>
          <w:numId w:val="2"/>
        </w:numPr>
        <w:spacing w:after="40" w:before="40"/>
      </w:pPr>
      <w:r>
        <w:rPr>
          <w:rFonts w:ascii="Arial" w:cs="Arial" w:eastAsia="Arial" w:hAnsi="Arial"/>
          <w:color w:val="444441"/>
          <w:sz w:val="22"/>
          <w:szCs w:val="22"/>
        </w:rPr>
        <w:t xml:space="preserve">Immutabilité du dataset brut : df = df_raw.copy() — le fichier source n'est jamais modifié.</w:t>
      </w:r>
    </w:p>
    <w:p>
      <w:pPr>
        <w:pStyle w:val="ListParagraph"/>
        <w:numPr>
          <w:ilvl w:val="0"/>
          <w:numId w:val="2"/>
        </w:numPr>
        <w:spacing w:after="40" w:before="40"/>
      </w:pPr>
      <w:r>
        <w:rPr>
          <w:rFonts w:ascii="Arial" w:cs="Arial" w:eastAsia="Arial" w:hAnsi="Arial"/>
          <w:color w:val="444441"/>
          <w:sz w:val="22"/>
          <w:szCs w:val="22"/>
        </w:rPr>
        <w:t xml:space="preserve">Justification métier systématique : chaque décision s'appuie sur une règle financière ou réglementaire, pas seulement statistique.</w:t>
      </w:r>
    </w:p>
    <w:p>
      <w:pPr>
        <w:pStyle w:val="ListParagraph"/>
        <w:numPr>
          <w:ilvl w:val="0"/>
          <w:numId w:val="2"/>
        </w:numPr>
        <w:spacing w:after="40" w:before="40"/>
      </w:pPr>
      <w:r>
        <w:rPr>
          <w:rFonts w:ascii="Arial" w:cs="Arial" w:eastAsia="Arial" w:hAnsi="Arial"/>
          <w:color w:val="444441"/>
          <w:sz w:val="22"/>
          <w:szCs w:val="22"/>
        </w:rPr>
        <w:t xml:space="preserve">Traçabilité : chaque colonne imputée génère une colonne _was_missing binaire pour distinguer valeurs observées et inférées.</w:t>
      </w:r>
    </w:p>
    <w:p>
      <w:pPr>
        <w:pStyle w:val="ListParagraph"/>
        <w:numPr>
          <w:ilvl w:val="0"/>
          <w:numId w:val="2"/>
        </w:numPr>
        <w:spacing w:after="40" w:before="40"/>
      </w:pPr>
      <w:r>
        <w:rPr>
          <w:rFonts w:ascii="Arial" w:cs="Arial" w:eastAsia="Arial" w:hAnsi="Arial"/>
          <w:color w:val="444441"/>
          <w:sz w:val="22"/>
          <w:szCs w:val="22"/>
        </w:rPr>
        <w:t xml:space="preserve">BCBS 239 : logging horodaté de chaque transformation, DQS avant/après, rapport d'audit exportable.</w:t>
      </w:r>
    </w:p>
    <w:p>
      <w:pPr>
        <w:spacing w:after="0" w:before="160"/>
      </w:pPr>
    </w:p>
    <w:p>
      <w:pPr>
        <w:pStyle w:val="Heading2"/>
        <w:spacing w:after="80" w:before="240"/>
      </w:pPr>
      <w:r>
        <w:rPr>
          <w:rFonts w:ascii="Arial" w:cs="Arial" w:eastAsia="Arial" w:hAnsi="Arial"/>
          <w:b/>
          <w:bCs/>
          <w:color w:val="2E75B6"/>
          <w:sz w:val="26"/>
          <w:szCs w:val="26"/>
        </w:rPr>
        <w:t xml:space="preserve">4.2  Décisions critiques et leurs justifications</w:t>
      </w:r>
    </w:p>
    <w:p>
      <w:pPr>
        <w:pStyle w:val="Heading3"/>
        <w:spacing w:after="60" w:before="180"/>
      </w:pPr>
      <w:r>
        <w:rPr>
          <w:rFonts w:ascii="Arial" w:cs="Arial" w:eastAsia="Arial" w:hAnsi="Arial"/>
          <w:b/>
          <w:bCs/>
          <w:color w:val="0F6E56"/>
          <w:sz w:val="24"/>
          <w:szCs w:val="24"/>
        </w:rPr>
        <w:t xml:space="preserve">Doublons trade_id — keep='last' (amendements Murex)</w:t>
      </w:r>
    </w:p>
    <w:p>
      <w:pPr>
        <w:spacing w:after="60" w:before="60"/>
      </w:pPr>
      <w:r>
        <w:rPr>
          <w:rFonts w:ascii="Arial" w:cs="Arial" w:eastAsia="Arial" w:hAnsi="Arial"/>
          <w:color w:val="444441"/>
          <w:sz w:val="22"/>
          <w:szCs w:val="22"/>
        </w:rPr>
        <w:t xml:space="preserve">Dans Murex, un trade_id est généré une seule fois à la création. Si ce même ID apparaît avec des données différentes, il s'agit d'un amendement (re-pricing, correction de quantité). L'ordre chronologique des lignes étant FIFO, la dernière occurrence reflète l'état le plus récent et validé. On trie par trade_date décroissant avant drop_duplicates pour garantir que 'first' = plus récent, indépendamment de l'ordre physique du fichier.</w:t>
      </w:r>
    </w:p>
    <w:p>
      <w:pPr>
        <w:pStyle w:val="Heading3"/>
        <w:spacing w:after="60" w:before="180"/>
      </w:pPr>
      <w:r>
        <w:rPr>
          <w:rFonts w:ascii="Arial" w:cs="Arial" w:eastAsia="Arial" w:hAnsi="Arial"/>
          <w:b/>
          <w:bCs/>
          <w:color w:val="0F6E56"/>
          <w:sz w:val="24"/>
          <w:szCs w:val="24"/>
        </w:rPr>
        <w:t xml:space="preserve">settlement_date invalide → NaT puis recalcul T+2</w:t>
      </w:r>
    </w:p>
    <w:p>
      <w:pPr>
        <w:spacing w:after="60" w:before="60"/>
      </w:pPr>
      <w:r>
        <w:rPr>
          <w:rFonts w:ascii="Arial" w:cs="Arial" w:eastAsia="Arial" w:hAnsi="Arial"/>
          <w:color w:val="444441"/>
          <w:sz w:val="22"/>
          <w:szCs w:val="22"/>
        </w:rPr>
        <w:t xml:space="preserve">On ne corrige pas directement settlement_date en ajoutant 2 jours : la règle T+2 s'applique aux jours OUVRÉS (hors week-ends et jours fériés), et varie selon l'asset_class (T+1 pour certains dérivés). On utilise pd.offsets.BusinessDay(2) comme approximation et on flag settlement_date_was_missing pour investigation manuelle si nécessaire.</w:t>
      </w:r>
    </w:p>
    <w:p>
      <w:pPr>
        <w:pStyle w:val="Heading3"/>
        <w:spacing w:after="60" w:before="180"/>
      </w:pPr>
      <w:r>
        <w:rPr>
          <w:rFonts w:ascii="Arial" w:cs="Arial" w:eastAsia="Arial" w:hAnsi="Arial"/>
          <w:b/>
          <w:bCs/>
          <w:color w:val="0F6E56"/>
          <w:sz w:val="24"/>
          <w:szCs w:val="24"/>
        </w:rPr>
        <w:t xml:space="preserve">credit_rating NaN → 'nr' (not rated), pas le mode</w:t>
      </w:r>
    </w:p>
    <w:p>
      <w:pPr>
        <w:spacing w:after="60" w:before="60"/>
      </w:pPr>
      <w:r>
        <w:rPr>
          <w:rFonts w:ascii="Arial" w:cs="Arial" w:eastAsia="Arial" w:hAnsi="Arial"/>
          <w:color w:val="444441"/>
          <w:sz w:val="22"/>
          <w:szCs w:val="22"/>
        </w:rPr>
        <w:t xml:space="preserve">Imputer le mode ('BBB') sur une contrepartie dont le rating est inconnu serait dangereux : si cette contrepartie est en défaut, on lui attribuerait une note investment-grade, faussant les pondérations RWA bâloises. La catégorie 'nr' (not rated) est traitée comme BB dans la plupart des modèles internes — c'est une hypothèse prudente et auditable.</w:t>
      </w:r>
    </w:p>
    <w:p>
      <w:pPr>
        <w:pStyle w:val="Heading3"/>
        <w:spacing w:after="60" w:before="180"/>
      </w:pPr>
      <w:r>
        <w:rPr>
          <w:rFonts w:ascii="Arial" w:cs="Arial" w:eastAsia="Arial" w:hAnsi="Arial"/>
          <w:b/>
          <w:bCs/>
          <w:color w:val="0F6E56"/>
          <w:sz w:val="24"/>
          <w:szCs w:val="24"/>
        </w:rPr>
        <w:t xml:space="preserve">notional_eur négatif → abs() (inversion de signe)</w:t>
      </w:r>
    </w:p>
    <w:p>
      <w:pPr>
        <w:spacing w:after="60" w:before="60"/>
      </w:pPr>
      <w:r>
        <w:rPr>
          <w:rFonts w:ascii="Arial" w:cs="Arial" w:eastAsia="Arial" w:hAnsi="Arial"/>
          <w:color w:val="444441"/>
          <w:sz w:val="22"/>
          <w:szCs w:val="22"/>
        </w:rPr>
        <w:t xml:space="preserve">Un notionnel strictement négatif sans flag short documenté résulte d'une convention comptable débit/crédit appliquée à tort lors de l'export Murex. La valeur absolue préserve le montant réel sans créer de NaN sur une colonne critique pour le calcul d'exposition. Les lignes concernées sont loggées pour vérification back-office.</w:t>
      </w:r>
    </w:p>
    <w:p>
      <w:pPr>
        <w:pStyle w:val="Heading3"/>
        <w:spacing w:after="60" w:before="180"/>
      </w:pPr>
      <w:r>
        <w:rPr>
          <w:rFonts w:ascii="Arial" w:cs="Arial" w:eastAsia="Arial" w:hAnsi="Arial"/>
          <w:b/>
          <w:bCs/>
          <w:color w:val="0F6E56"/>
          <w:sz w:val="24"/>
          <w:szCs w:val="24"/>
        </w:rPr>
        <w:t xml:space="preserve">Outliers notional_eur → winsorisation p1/p99, pas suppression</w:t>
      </w:r>
    </w:p>
    <w:p>
      <w:pPr>
        <w:spacing w:after="60" w:before="60"/>
      </w:pPr>
      <w:r>
        <w:rPr>
          <w:rFonts w:ascii="Arial" w:cs="Arial" w:eastAsia="Arial" w:hAnsi="Arial"/>
          <w:color w:val="444441"/>
          <w:sz w:val="22"/>
          <w:szCs w:val="22"/>
        </w:rPr>
        <w:t xml:space="preserve">Un notionnel de 50 M€ peut être parfaitement légitime (desk taux, desk dérivés institutionnels). Supprimer ces trades fausserait les calculs de concentration de risque par contrepartie (BCBS 239). La winsorisation aux percentiles 1% et 99% borne l'influence des extrêmes sans perdre l'information.</w:t>
      </w:r>
    </w:p>
    <w:p>
      <w:pPr>
        <w:spacing w:after="0" w:before="240"/>
      </w:pPr>
    </w:p>
    <w:p>
      <w:pPr>
        <w:pStyle w:val="Heading1"/>
        <w:spacing w:after="120" w:before="360"/>
      </w:pPr>
      <w:r>
        <w:rPr>
          <w:rFonts w:ascii="Arial" w:cs="Arial" w:eastAsia="Arial" w:hAnsi="Arial"/>
          <w:b/>
          <w:bCs/>
          <w:color w:val="1B3A5C"/>
          <w:sz w:val="32"/>
          <w:szCs w:val="32"/>
        </w:rPr>
        <w:t xml:space="preserve">5. Grille d'Évaluation</w:t>
      </w:r>
    </w:p>
    <w:p>
      <w:pPr>
        <w:pBdr>
          <w:bottom w:val="single" w:color="2E75B6" w:sz="6"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600"/>
        <w:gridCol w:w="4260"/>
      </w:tblGrid>
      <w:tr>
        <w:trPr>
          <w:tblHeader/>
        </w:trPr>
        <w:tc>
          <w:tcPr>
            <w:tcW w:type="dxa" w:w="45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60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260"/>
            <w:tcBorders>
              <w:top w:val="single" w:color="D3D1C7" w:sz="1"/>
              <w:left w:val="single" w:color="D3D1C7" w:sz="1"/>
              <w:bottom w:val="single" w:color="D3D1C7" w:sz="1"/>
              <w:right w:val="single" w:color="D3D1C7"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Exigence minimale</w:t>
            </w:r>
          </w:p>
        </w:tc>
      </w:tr>
      <w:tr>
        <w:tc>
          <w:tcPr>
            <w:tcW w:type="dxa" w:w="45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Audit : data dictionnaire</w:t>
            </w:r>
          </w:p>
        </w:tc>
        <w:tc>
          <w:tcPr>
            <w:tcW w:type="dxa" w:w="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w:t>
            </w:r>
          </w:p>
        </w:tc>
        <w:tc>
          <w:tcPr>
            <w:tcW w:type="dxa" w:w="42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20 colonnes avec règles de validation métier</w:t>
            </w:r>
          </w:p>
        </w:tc>
      </w:tr>
      <w:tr>
        <w:tc>
          <w:tcPr>
            <w:tcW w:type="dxa" w:w="45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Audit : profiling initial</w:t>
            </w:r>
          </w:p>
        </w:tc>
        <w:tc>
          <w:tcPr>
            <w:tcW w:type="dxa" w:w="6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w:t>
            </w:r>
          </w:p>
        </w:tc>
        <w:tc>
          <w:tcPr>
            <w:tcW w:type="dxa" w:w="426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NaN, distribution, corrélations bid/ask/mid</w:t>
            </w:r>
          </w:p>
        </w:tc>
      </w:tr>
      <w:tr>
        <w:tc>
          <w:tcPr>
            <w:tcW w:type="dxa" w:w="45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Audit : 11 anomalies identifiées</w:t>
            </w:r>
          </w:p>
        </w:tc>
        <w:tc>
          <w:tcPr>
            <w:tcW w:type="dxa" w:w="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2</w:t>
            </w:r>
          </w:p>
        </w:tc>
        <w:tc>
          <w:tcPr>
            <w:tcW w:type="dxa" w:w="42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Toutes les anomalies catégorisées avec volumétrie</w:t>
            </w:r>
          </w:p>
        </w:tc>
      </w:tr>
      <w:tr>
        <w:tc>
          <w:tcPr>
            <w:tcW w:type="dxa" w:w="45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Code : collecte et consolidation</w:t>
            </w:r>
          </w:p>
        </w:tc>
        <w:tc>
          <w:tcPr>
            <w:tcW w:type="dxa" w:w="6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w:t>
            </w:r>
          </w:p>
        </w:tc>
        <w:tc>
          <w:tcPr>
            <w:tcW w:type="dxa" w:w="426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3 sources simulées, colonne source, paramètres robustes</w:t>
            </w:r>
          </w:p>
        </w:tc>
      </w:tr>
      <w:tr>
        <w:tc>
          <w:tcPr>
            <w:tcW w:type="dxa" w:w="45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Code : doublons</w:t>
            </w:r>
          </w:p>
        </w:tc>
        <w:tc>
          <w:tcPr>
            <w:tcW w:type="dxa" w:w="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w:t>
            </w:r>
          </w:p>
        </w:tc>
        <w:tc>
          <w:tcPr>
            <w:tcW w:type="dxa" w:w="42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Stratégie conserv. justifiée, log avant/après</w:t>
            </w:r>
          </w:p>
        </w:tc>
      </w:tr>
      <w:tr>
        <w:tc>
          <w:tcPr>
            <w:tcW w:type="dxa" w:w="45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Code : incohérences structurelles</w:t>
            </w:r>
          </w:p>
        </w:tc>
        <w:tc>
          <w:tcPr>
            <w:tcW w:type="dxa" w:w="6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1.5</w:t>
            </w:r>
          </w:p>
        </w:tc>
        <w:tc>
          <w:tcPr>
            <w:tcW w:type="dxa" w:w="426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settlement &lt; trade, bid &gt; ask, mid recalculé</w:t>
            </w:r>
          </w:p>
        </w:tc>
      </w:tr>
      <w:tr>
        <w:tc>
          <w:tcPr>
            <w:tcW w:type="dxa" w:w="45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Code : valeurs manquantes</w:t>
            </w:r>
          </w:p>
        </w:tc>
        <w:tc>
          <w:tcPr>
            <w:tcW w:type="dxa" w:w="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1.5</w:t>
            </w:r>
          </w:p>
        </w:tc>
        <w:tc>
          <w:tcPr>
            <w:tcW w:type="dxa" w:w="42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Stratégie par colonne, flag, imputation argumentée</w:t>
            </w:r>
          </w:p>
        </w:tc>
      </w:tr>
      <w:tr>
        <w:tc>
          <w:tcPr>
            <w:tcW w:type="dxa" w:w="45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Code : outliers</w:t>
            </w:r>
          </w:p>
        </w:tc>
        <w:tc>
          <w:tcPr>
            <w:tcW w:type="dxa" w:w="6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1.5</w:t>
            </w:r>
          </w:p>
        </w:tc>
        <w:tc>
          <w:tcPr>
            <w:tcW w:type="dxa" w:w="426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IQR + Isolation Forest, visualisation, choix justifié</w:t>
            </w:r>
          </w:p>
        </w:tc>
      </w:tr>
      <w:tr>
        <w:tc>
          <w:tcPr>
            <w:tcW w:type="dxa" w:w="45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Code : contradiction rating/défaut</w:t>
            </w:r>
          </w:p>
        </w:tc>
        <w:tc>
          <w:tcPr>
            <w:tcW w:type="dxa" w:w="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w:t>
            </w:r>
          </w:p>
        </w:tc>
        <w:tc>
          <w:tcPr>
            <w:tcW w:type="dxa" w:w="42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Détectée, traitée, documentée</w:t>
            </w:r>
          </w:p>
        </w:tc>
      </w:tr>
      <w:tr>
        <w:tc>
          <w:tcPr>
            <w:tcW w:type="dxa" w:w="45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Code : qualité pipeline</w:t>
            </w:r>
          </w:p>
        </w:tc>
        <w:tc>
          <w:tcPr>
            <w:tcW w:type="dxa" w:w="6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1.5</w:t>
            </w:r>
          </w:p>
        </w:tc>
        <w:tc>
          <w:tcPr>
            <w:tcW w:type="dxa" w:w="426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Classe DataCleaner, logging, rapport avant/après</w:t>
            </w:r>
          </w:p>
        </w:tc>
      </w:tr>
      <w:tr>
        <w:tc>
          <w:tcPr>
            <w:tcW w:type="dxa" w:w="45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Great Expectations : 12+ tests</w:t>
            </w:r>
          </w:p>
        </w:tc>
        <w:tc>
          <w:tcPr>
            <w:tcW w:type="dxa" w:w="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2</w:t>
            </w:r>
          </w:p>
        </w:tc>
        <w:tc>
          <w:tcPr>
            <w:tcW w:type="dxa" w:w="42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Toutes passantes sur le dataset nettoyé</w:t>
            </w:r>
          </w:p>
        </w:tc>
      </w:tr>
      <w:tr>
        <w:tc>
          <w:tcPr>
            <w:tcW w:type="dxa" w:w="45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Great Expectations : rapport HTML</w:t>
            </w:r>
          </w:p>
        </w:tc>
        <w:tc>
          <w:tcPr>
            <w:tcW w:type="dxa" w:w="6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w:t>
            </w:r>
          </w:p>
        </w:tc>
        <w:tc>
          <w:tcPr>
            <w:tcW w:type="dxa" w:w="426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Rapport généré et fourni</w:t>
            </w:r>
          </w:p>
        </w:tc>
      </w:tr>
      <w:tr>
        <w:tc>
          <w:tcPr>
            <w:tcW w:type="dxa" w:w="45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Note BCBS 239</w:t>
            </w:r>
          </w:p>
        </w:tc>
        <w:tc>
          <w:tcPr>
            <w:tcW w:type="dxa" w:w="60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3</w:t>
            </w:r>
          </w:p>
        </w:tc>
        <w:tc>
          <w:tcPr>
            <w:tcW w:type="dxa" w:w="4260"/>
            <w:tcBorders>
              <w:top w:val="single" w:color="D3D1C7" w:sz="1"/>
              <w:left w:val="single" w:color="D3D1C7" w:sz="1"/>
              <w:bottom w:val="single" w:color="D3D1C7" w:sz="1"/>
              <w:right w:val="single" w:color="D3D1C7" w:sz="1"/>
            </w:tcBorders>
            <w:shd w:fill="FFFFFF"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4 principes couverts, langage Risk Officer</w:t>
            </w:r>
          </w:p>
        </w:tc>
      </w:tr>
      <w:tr>
        <w:tc>
          <w:tcPr>
            <w:tcW w:type="dxa" w:w="45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Dépôt Git structuré</w:t>
            </w:r>
          </w:p>
        </w:tc>
        <w:tc>
          <w:tcPr>
            <w:tcW w:type="dxa" w:w="60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center"/>
            </w:pPr>
            <w:r>
              <w:rPr>
                <w:rFonts w:ascii="Arial" w:cs="Arial" w:eastAsia="Arial" w:hAnsi="Arial"/>
                <w:b/>
                <w:bCs/>
                <w:color w:val="2E75B6"/>
                <w:sz w:val="20"/>
                <w:szCs w:val="20"/>
              </w:rPr>
              <w:t xml:space="preserve">1</w:t>
            </w:r>
          </w:p>
        </w:tc>
        <w:tc>
          <w:tcPr>
            <w:tcW w:type="dxa" w:w="4260"/>
            <w:tcBorders>
              <w:top w:val="single" w:color="D3D1C7" w:sz="1"/>
              <w:left w:val="single" w:color="D3D1C7" w:sz="1"/>
              <w:bottom w:val="single" w:color="D3D1C7" w:sz="1"/>
              <w:right w:val="single" w:color="D3D1C7" w:sz="1"/>
            </w:tcBorders>
            <w:shd w:fill="F2F4F7" w:val="clear"/>
            <w:tcMar>
              <w:top w:type="dxa" w:w="70"/>
              <w:left w:type="dxa" w:w="120"/>
              <w:bottom w:type="dxa" w:w="70"/>
              <w:right w:type="dxa" w:w="120"/>
            </w:tcMar>
          </w:tcPr>
          <w:p>
            <w:pPr>
              <w:jc w:val="left"/>
            </w:pPr>
            <w:r>
              <w:rPr>
                <w:rFonts w:ascii="Arial" w:cs="Arial" w:eastAsia="Arial" w:hAnsi="Arial"/>
                <w:b w:val="false"/>
                <w:bCs w:val="false"/>
                <w:color w:val="444441"/>
                <w:sz w:val="20"/>
                <w:szCs w:val="20"/>
              </w:rPr>
              <w:t xml:space="preserve">README, requirements.txt, structure propre</w:t>
            </w:r>
          </w:p>
        </w:tc>
      </w:tr>
      <w:tr>
        <w:tc>
          <w:tcPr>
            <w:tcW w:type="dxa" w:w="4500"/>
            <w:tcBorders>
              <w:top w:val="single" w:color="D3D1C7" w:sz="1"/>
              <w:left w:val="single" w:color="D3D1C7" w:sz="1"/>
              <w:bottom w:val="single" w:color="D3D1C7" w:sz="1"/>
              <w:right w:val="single" w:color="D3D1C7" w:sz="1"/>
            </w:tcBorders>
            <w:shd w:fill="1B3A5C" w:val="clear"/>
            <w:tcMar>
              <w:top w:type="dxa" w:w="70"/>
              <w:left w:type="dxa" w:w="120"/>
              <w:bottom w:type="dxa" w:w="70"/>
              <w:right w:type="dxa" w:w="120"/>
            </w:tcMar>
          </w:tcPr>
          <w:p>
            <w:pPr>
              <w:jc w:val="left"/>
            </w:pPr>
            <w:r>
              <w:rPr>
                <w:rFonts w:ascii="Arial" w:cs="Arial" w:eastAsia="Arial" w:hAnsi="Arial"/>
                <w:b/>
                <w:bCs/>
                <w:color w:val="FFFFFF"/>
                <w:sz w:val="20"/>
                <w:szCs w:val="20"/>
              </w:rPr>
              <w:t xml:space="preserve">TOTAL</w:t>
            </w:r>
          </w:p>
        </w:tc>
        <w:tc>
          <w:tcPr>
            <w:tcW w:type="dxa" w:w="600"/>
            <w:tcBorders>
              <w:top w:val="single" w:color="D3D1C7" w:sz="1"/>
              <w:left w:val="single" w:color="D3D1C7" w:sz="1"/>
              <w:bottom w:val="single" w:color="D3D1C7" w:sz="1"/>
              <w:right w:val="single" w:color="D3D1C7" w:sz="1"/>
            </w:tcBorders>
            <w:shd w:fill="1B3A5C"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20</w:t>
            </w:r>
          </w:p>
        </w:tc>
        <w:tc>
          <w:tcPr>
            <w:tcW w:type="dxa" w:w="4260"/>
            <w:tcBorders>
              <w:top w:val="single" w:color="D3D1C7" w:sz="1"/>
              <w:left w:val="single" w:color="D3D1C7" w:sz="1"/>
              <w:bottom w:val="single" w:color="D3D1C7" w:sz="1"/>
              <w:right w:val="single" w:color="D3D1C7" w:sz="1"/>
            </w:tcBorders>
            <w:shd w:fill="1B3A5C" w:val="clear"/>
            <w:tcMar>
              <w:top w:type="dxa" w:w="70"/>
              <w:left w:type="dxa" w:w="120"/>
              <w:bottom w:type="dxa" w:w="70"/>
              <w:right w:type="dxa" w:w="120"/>
            </w:tcMar>
          </w:tcPr>
          <w:p>
            <w:pPr>
              <w:jc w:val="left"/>
            </w:pPr>
            <w:r>
              <w:rPr>
                <w:rFonts w:ascii="Arial" w:cs="Arial" w:eastAsia="Arial" w:hAnsi="Arial"/>
                <w:b/>
                <w:bCs/>
                <w:color w:val="FFFFFF"/>
                <w:sz w:val="20"/>
                <w:szCs w:val="20"/>
              </w:rPr>
              <w:t xml:space="preserve"/>
            </w:r>
          </w:p>
        </w:tc>
      </w:tr>
    </w:tbl>
    <w:p>
      <w:pPr>
        <w:spacing w:after="0" w:before="240"/>
      </w:pPr>
    </w:p>
    <w:p>
      <w:pPr>
        <w:pBdr>
          <w:top w:val="single" w:color="D3D1C7" w:sz="4" w:space="4"/>
        </w:pBdr>
        <w:spacing w:after="0" w:before="120"/>
        <w:jc w:val="center"/>
      </w:pPr>
      <w:r>
        <w:rPr>
          <w:rFonts w:ascii="Arial" w:cs="Arial" w:eastAsia="Arial" w:hAnsi="Arial"/>
          <w:color w:val="D3D1C7"/>
          <w:sz w:val="18"/>
          <w:szCs w:val="18"/>
        </w:rPr>
        <w:t xml:space="preserve">Rapport d'Audit TradeCleanse — DCLE821 — QuantAxis Capital, Paris — Confidentiel</w:t>
      </w:r>
    </w:p>
    <w:sectPr>
      <w:headerReference w:type="default" r:id="rId7"/>
      <w:footerReference w:type="default" r:id="rId8"/>
      <w:pgSz w:w="13000"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D3D1C7"/>
        <w:sz w:val="16"/>
        <w:szCs w:val="16"/>
      </w:rPr>
      <w:t xml:space="preserve">Confidentiel — Usage interne Risk Department</w:t>
    </w:r>
    <w:r>
      <w:rPr>
        <w:rFonts w:ascii="Arial" w:cs="Arial" w:eastAsia="Arial" w:hAnsi="Arial"/>
        <w:color w:val="D3D1C7"/>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5C"/>
        <w:sz w:val="18"/>
        <w:szCs w:val="18"/>
      </w:rPr>
      <w:t xml:space="preserve">Rapport d'Audit — TradeCleanse</w:t>
    </w:r>
    <w:r>
      <w:rPr>
        <w:rFonts w:ascii="Arial" w:cs="Arial" w:eastAsia="Arial" w:hAnsi="Arial"/>
        <w:color w:val="D3D1C7"/>
        <w:sz w:val="18"/>
        <w:szCs w:val="18"/>
      </w:rPr>
      <w:t xml:space="preserve">   |   QuantAxis Capital — DCLE821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2026-04-15T18:45:32.117Z</dcterms:created>
  <dcterms:modified xsi:type="dcterms:W3CDTF">2026-04-15T18:45:32.117Z</dcterms:modified>
</cp:coreProperties>
</file>

<file path=docProps/custom.xml><?xml version="1.0" encoding="utf-8"?>
<Properties xmlns="http://schemas.openxmlformats.org/officeDocument/2006/custom-properties" xmlns:vt="http://schemas.openxmlformats.org/officeDocument/2006/docPropsVTypes"/>
</file>