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7E61C" w14:textId="1382DA12" w:rsidR="00C02915" w:rsidRDefault="00EF7896">
      <w:pPr>
        <w:rPr>
          <w:sz w:val="24"/>
          <w:szCs w:val="24"/>
        </w:rPr>
      </w:pPr>
      <w:r>
        <w:rPr>
          <w:sz w:val="24"/>
          <w:szCs w:val="24"/>
        </w:rPr>
        <w:t>Kaouther Abid                                                                                                                  Challenge 05: Matplotlib Unit</w:t>
      </w:r>
    </w:p>
    <w:p w14:paraId="4EDCBC11" w14:textId="4A373AE2" w:rsidR="00EF7896" w:rsidRDefault="00EF7896">
      <w:pPr>
        <w:rPr>
          <w:sz w:val="24"/>
          <w:szCs w:val="24"/>
        </w:rPr>
      </w:pPr>
      <w:r>
        <w:rPr>
          <w:sz w:val="24"/>
          <w:szCs w:val="24"/>
        </w:rPr>
        <w:t>Pymaceuticals Inc.</w:t>
      </w:r>
    </w:p>
    <w:p w14:paraId="3E42348A" w14:textId="114C1031" w:rsidR="00EF7896" w:rsidRPr="00040B30" w:rsidRDefault="00EF7896" w:rsidP="00040B30">
      <w:pPr>
        <w:jc w:val="center"/>
        <w:rPr>
          <w:color w:val="002060"/>
          <w:sz w:val="24"/>
          <w:szCs w:val="24"/>
          <w:u w:val="single"/>
        </w:rPr>
      </w:pPr>
      <w:r w:rsidRPr="00040B30">
        <w:rPr>
          <w:color w:val="002060"/>
          <w:sz w:val="24"/>
          <w:szCs w:val="24"/>
          <w:u w:val="single"/>
        </w:rPr>
        <w:t>Analysis:</w:t>
      </w:r>
    </w:p>
    <w:p w14:paraId="13470051" w14:textId="06E6A491" w:rsidR="00EF7896" w:rsidRPr="00040B30" w:rsidRDefault="00EF7896" w:rsidP="00040B30">
      <w:pPr>
        <w:rPr>
          <w:color w:val="002060"/>
          <w:sz w:val="24"/>
          <w:szCs w:val="24"/>
          <w:u w:val="single"/>
        </w:rPr>
      </w:pPr>
      <w:r w:rsidRPr="00040B30">
        <w:rPr>
          <w:color w:val="002060"/>
          <w:sz w:val="24"/>
          <w:szCs w:val="24"/>
          <w:u w:val="single"/>
        </w:rPr>
        <w:t>Summary Statistics:</w:t>
      </w:r>
    </w:p>
    <w:p w14:paraId="19952CEE" w14:textId="59440F7D" w:rsidR="00EF7896" w:rsidRPr="00E728EF" w:rsidRDefault="00EF7896" w:rsidP="00E728EF">
      <w:pPr>
        <w:pStyle w:val="ListParagraph"/>
        <w:numPr>
          <w:ilvl w:val="0"/>
          <w:numId w:val="5"/>
        </w:numPr>
        <w:rPr>
          <w:sz w:val="24"/>
          <w:szCs w:val="24"/>
        </w:rPr>
      </w:pPr>
      <w:r w:rsidRPr="00E728EF">
        <w:rPr>
          <w:sz w:val="24"/>
          <w:szCs w:val="24"/>
        </w:rPr>
        <w:t>the number of mice</w:t>
      </w:r>
      <w:r w:rsidRPr="00E728EF">
        <w:rPr>
          <w:sz w:val="24"/>
          <w:szCs w:val="24"/>
        </w:rPr>
        <w:t>: 248</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B1A76" w:rsidRPr="00040B30" w14:paraId="108BC0FC" w14:textId="77777777" w:rsidTr="00532F55">
        <w:tc>
          <w:tcPr>
            <w:tcW w:w="1798" w:type="dxa"/>
          </w:tcPr>
          <w:p w14:paraId="3247B283" w14:textId="6EA29A5C"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Drug Regimen</w:t>
            </w:r>
          </w:p>
        </w:tc>
        <w:tc>
          <w:tcPr>
            <w:tcW w:w="1798" w:type="dxa"/>
            <w:vAlign w:val="center"/>
          </w:tcPr>
          <w:p w14:paraId="03981386" w14:textId="12BA6D20"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Mean Tumor Volume</w:t>
            </w:r>
          </w:p>
        </w:tc>
        <w:tc>
          <w:tcPr>
            <w:tcW w:w="1798" w:type="dxa"/>
            <w:vAlign w:val="center"/>
          </w:tcPr>
          <w:p w14:paraId="7C31BD8A" w14:textId="14F92FDB"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Median Tumor Volume</w:t>
            </w:r>
          </w:p>
        </w:tc>
        <w:tc>
          <w:tcPr>
            <w:tcW w:w="1798" w:type="dxa"/>
            <w:vAlign w:val="center"/>
          </w:tcPr>
          <w:p w14:paraId="1B414A60" w14:textId="36ADA61F"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Tumor Volume Variance</w:t>
            </w:r>
          </w:p>
        </w:tc>
        <w:tc>
          <w:tcPr>
            <w:tcW w:w="1799" w:type="dxa"/>
            <w:vAlign w:val="center"/>
          </w:tcPr>
          <w:p w14:paraId="32CF0670" w14:textId="3ECACAA1"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Tumor Volume Std. Dev.</w:t>
            </w:r>
          </w:p>
        </w:tc>
        <w:tc>
          <w:tcPr>
            <w:tcW w:w="1799" w:type="dxa"/>
            <w:vAlign w:val="center"/>
          </w:tcPr>
          <w:p w14:paraId="4B36CE0E" w14:textId="04CC5464"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Tumor Volume Std. Err.</w:t>
            </w:r>
          </w:p>
        </w:tc>
      </w:tr>
      <w:tr w:rsidR="001B1A76" w:rsidRPr="00040B30" w14:paraId="2F6B3200" w14:textId="77777777" w:rsidTr="001062D5">
        <w:tc>
          <w:tcPr>
            <w:tcW w:w="1798" w:type="dxa"/>
            <w:vAlign w:val="center"/>
          </w:tcPr>
          <w:p w14:paraId="5C774B7A" w14:textId="4666CE4D"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Capomulin</w:t>
            </w:r>
          </w:p>
        </w:tc>
        <w:tc>
          <w:tcPr>
            <w:tcW w:w="1798" w:type="dxa"/>
            <w:vAlign w:val="center"/>
          </w:tcPr>
          <w:p w14:paraId="67976F8B" w14:textId="71054C2B"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40.675741</w:t>
            </w:r>
          </w:p>
        </w:tc>
        <w:tc>
          <w:tcPr>
            <w:tcW w:w="1798" w:type="dxa"/>
            <w:vAlign w:val="center"/>
          </w:tcPr>
          <w:p w14:paraId="379F1ABD" w14:textId="7347F28C"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41.557809</w:t>
            </w:r>
          </w:p>
        </w:tc>
        <w:tc>
          <w:tcPr>
            <w:tcW w:w="1798" w:type="dxa"/>
            <w:vAlign w:val="center"/>
          </w:tcPr>
          <w:p w14:paraId="6DD18612" w14:textId="2A30D87A"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24.947764</w:t>
            </w:r>
          </w:p>
        </w:tc>
        <w:tc>
          <w:tcPr>
            <w:tcW w:w="1799" w:type="dxa"/>
            <w:vAlign w:val="center"/>
          </w:tcPr>
          <w:p w14:paraId="1A115056" w14:textId="2EED7E4A"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4.994774</w:t>
            </w:r>
          </w:p>
        </w:tc>
        <w:tc>
          <w:tcPr>
            <w:tcW w:w="1799" w:type="dxa"/>
            <w:vAlign w:val="center"/>
          </w:tcPr>
          <w:p w14:paraId="2543A705" w14:textId="681298AC"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0.329346</w:t>
            </w:r>
          </w:p>
        </w:tc>
      </w:tr>
      <w:tr w:rsidR="001B1A76" w:rsidRPr="00040B30" w14:paraId="79C2BEAD" w14:textId="77777777" w:rsidTr="00727AD2">
        <w:tc>
          <w:tcPr>
            <w:tcW w:w="1798" w:type="dxa"/>
            <w:vAlign w:val="center"/>
          </w:tcPr>
          <w:p w14:paraId="3E69F2E8" w14:textId="0DE986B0"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Ceftamin</w:t>
            </w:r>
          </w:p>
        </w:tc>
        <w:tc>
          <w:tcPr>
            <w:tcW w:w="1798" w:type="dxa"/>
            <w:vAlign w:val="center"/>
          </w:tcPr>
          <w:p w14:paraId="01987E02" w14:textId="52E0C48F"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52.591172</w:t>
            </w:r>
          </w:p>
        </w:tc>
        <w:tc>
          <w:tcPr>
            <w:tcW w:w="1798" w:type="dxa"/>
            <w:vAlign w:val="center"/>
          </w:tcPr>
          <w:p w14:paraId="5226D064" w14:textId="13E18BC0"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51.776157</w:t>
            </w:r>
          </w:p>
        </w:tc>
        <w:tc>
          <w:tcPr>
            <w:tcW w:w="1798" w:type="dxa"/>
            <w:vAlign w:val="center"/>
          </w:tcPr>
          <w:p w14:paraId="361578FA" w14:textId="4EBB0A82"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39.290177</w:t>
            </w:r>
          </w:p>
        </w:tc>
        <w:tc>
          <w:tcPr>
            <w:tcW w:w="1799" w:type="dxa"/>
            <w:vAlign w:val="center"/>
          </w:tcPr>
          <w:p w14:paraId="70CEDC4B" w14:textId="788EFB2F"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6.268188</w:t>
            </w:r>
          </w:p>
        </w:tc>
        <w:tc>
          <w:tcPr>
            <w:tcW w:w="1799" w:type="dxa"/>
            <w:vAlign w:val="center"/>
          </w:tcPr>
          <w:p w14:paraId="4AE62268" w14:textId="204731BD"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0.469821</w:t>
            </w:r>
          </w:p>
        </w:tc>
      </w:tr>
      <w:tr w:rsidR="001B1A76" w:rsidRPr="00040B30" w14:paraId="6AB229AC" w14:textId="77777777" w:rsidTr="00C50F97">
        <w:tc>
          <w:tcPr>
            <w:tcW w:w="1798" w:type="dxa"/>
            <w:vAlign w:val="center"/>
          </w:tcPr>
          <w:p w14:paraId="3F19FD51" w14:textId="58C426B1"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Infubinol</w:t>
            </w:r>
          </w:p>
        </w:tc>
        <w:tc>
          <w:tcPr>
            <w:tcW w:w="1798" w:type="dxa"/>
            <w:vAlign w:val="center"/>
          </w:tcPr>
          <w:p w14:paraId="6317D9AD" w14:textId="780D3614"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52.884795</w:t>
            </w:r>
          </w:p>
        </w:tc>
        <w:tc>
          <w:tcPr>
            <w:tcW w:w="1798" w:type="dxa"/>
            <w:vAlign w:val="center"/>
          </w:tcPr>
          <w:p w14:paraId="2506A61B" w14:textId="2DE09F0B"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51.820584</w:t>
            </w:r>
          </w:p>
        </w:tc>
        <w:tc>
          <w:tcPr>
            <w:tcW w:w="1798" w:type="dxa"/>
            <w:vAlign w:val="center"/>
          </w:tcPr>
          <w:p w14:paraId="0B1F0EA3" w14:textId="1D42338D"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43.128684</w:t>
            </w:r>
          </w:p>
        </w:tc>
        <w:tc>
          <w:tcPr>
            <w:tcW w:w="1799" w:type="dxa"/>
            <w:vAlign w:val="center"/>
          </w:tcPr>
          <w:p w14:paraId="418138DD" w14:textId="0FC077CD"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6.567243</w:t>
            </w:r>
          </w:p>
        </w:tc>
        <w:tc>
          <w:tcPr>
            <w:tcW w:w="1799" w:type="dxa"/>
            <w:vAlign w:val="center"/>
          </w:tcPr>
          <w:p w14:paraId="156F523A" w14:textId="65C0A333"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0.492236</w:t>
            </w:r>
          </w:p>
        </w:tc>
      </w:tr>
      <w:tr w:rsidR="001B1A76" w:rsidRPr="00040B30" w14:paraId="39F32AC3" w14:textId="77777777" w:rsidTr="005F43A4">
        <w:tc>
          <w:tcPr>
            <w:tcW w:w="1798" w:type="dxa"/>
            <w:vAlign w:val="center"/>
          </w:tcPr>
          <w:p w14:paraId="4FF5AAF0" w14:textId="311CBB57"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Ketapril</w:t>
            </w:r>
          </w:p>
        </w:tc>
        <w:tc>
          <w:tcPr>
            <w:tcW w:w="1798" w:type="dxa"/>
            <w:vAlign w:val="center"/>
          </w:tcPr>
          <w:p w14:paraId="1EAB91E8" w14:textId="364BCBC7"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55.235638</w:t>
            </w:r>
          </w:p>
        </w:tc>
        <w:tc>
          <w:tcPr>
            <w:tcW w:w="1798" w:type="dxa"/>
            <w:vAlign w:val="center"/>
          </w:tcPr>
          <w:p w14:paraId="37092728" w14:textId="14D55C99"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53.698743</w:t>
            </w:r>
          </w:p>
        </w:tc>
        <w:tc>
          <w:tcPr>
            <w:tcW w:w="1798" w:type="dxa"/>
            <w:vAlign w:val="center"/>
          </w:tcPr>
          <w:p w14:paraId="752FF402" w14:textId="584E221D"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68.553577</w:t>
            </w:r>
          </w:p>
        </w:tc>
        <w:tc>
          <w:tcPr>
            <w:tcW w:w="1799" w:type="dxa"/>
            <w:vAlign w:val="center"/>
          </w:tcPr>
          <w:p w14:paraId="4BB0DFB2" w14:textId="487F85C8"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8.279709</w:t>
            </w:r>
          </w:p>
        </w:tc>
        <w:tc>
          <w:tcPr>
            <w:tcW w:w="1799" w:type="dxa"/>
            <w:vAlign w:val="center"/>
          </w:tcPr>
          <w:p w14:paraId="5B8289F4" w14:textId="5F3C1BED"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0.603860</w:t>
            </w:r>
          </w:p>
        </w:tc>
      </w:tr>
      <w:tr w:rsidR="001B1A76" w:rsidRPr="00040B30" w14:paraId="1E2E7958" w14:textId="77777777" w:rsidTr="005F4D87">
        <w:tc>
          <w:tcPr>
            <w:tcW w:w="1798" w:type="dxa"/>
            <w:vAlign w:val="center"/>
          </w:tcPr>
          <w:p w14:paraId="40BC3B81" w14:textId="07F0B72A"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Naftisol</w:t>
            </w:r>
          </w:p>
        </w:tc>
        <w:tc>
          <w:tcPr>
            <w:tcW w:w="1798" w:type="dxa"/>
            <w:vAlign w:val="center"/>
          </w:tcPr>
          <w:p w14:paraId="10439457" w14:textId="38AF71B8"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54.331565</w:t>
            </w:r>
          </w:p>
        </w:tc>
        <w:tc>
          <w:tcPr>
            <w:tcW w:w="1798" w:type="dxa"/>
            <w:vAlign w:val="center"/>
          </w:tcPr>
          <w:p w14:paraId="0B9E843B" w14:textId="3DAA60CF"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52.509285</w:t>
            </w:r>
          </w:p>
        </w:tc>
        <w:tc>
          <w:tcPr>
            <w:tcW w:w="1798" w:type="dxa"/>
            <w:vAlign w:val="center"/>
          </w:tcPr>
          <w:p w14:paraId="5B438EDE" w14:textId="4C50AB2F"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66.173479</w:t>
            </w:r>
          </w:p>
        </w:tc>
        <w:tc>
          <w:tcPr>
            <w:tcW w:w="1799" w:type="dxa"/>
            <w:vAlign w:val="center"/>
          </w:tcPr>
          <w:p w14:paraId="49CCC6C5" w14:textId="4DC3F693"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8.134708</w:t>
            </w:r>
          </w:p>
        </w:tc>
        <w:tc>
          <w:tcPr>
            <w:tcW w:w="1799" w:type="dxa"/>
            <w:vAlign w:val="center"/>
          </w:tcPr>
          <w:p w14:paraId="4FF25187" w14:textId="71D750B2"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0.596466</w:t>
            </w:r>
          </w:p>
        </w:tc>
      </w:tr>
      <w:tr w:rsidR="001B1A76" w:rsidRPr="00040B30" w14:paraId="47083CDD" w14:textId="77777777" w:rsidTr="00FD4E55">
        <w:tc>
          <w:tcPr>
            <w:tcW w:w="1798" w:type="dxa"/>
            <w:vAlign w:val="center"/>
          </w:tcPr>
          <w:p w14:paraId="77F1DB83" w14:textId="59B161A2"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Placebo</w:t>
            </w:r>
          </w:p>
        </w:tc>
        <w:tc>
          <w:tcPr>
            <w:tcW w:w="1798" w:type="dxa"/>
            <w:vAlign w:val="center"/>
          </w:tcPr>
          <w:p w14:paraId="147F39C9" w14:textId="04FB6111"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54.033581</w:t>
            </w:r>
          </w:p>
        </w:tc>
        <w:tc>
          <w:tcPr>
            <w:tcW w:w="1798" w:type="dxa"/>
            <w:vAlign w:val="center"/>
          </w:tcPr>
          <w:p w14:paraId="6FD89DF9" w14:textId="3AC77B27"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52.288934</w:t>
            </w:r>
          </w:p>
        </w:tc>
        <w:tc>
          <w:tcPr>
            <w:tcW w:w="1798" w:type="dxa"/>
            <w:vAlign w:val="center"/>
          </w:tcPr>
          <w:p w14:paraId="64313E02" w14:textId="11CC66EE"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61.168083</w:t>
            </w:r>
          </w:p>
        </w:tc>
        <w:tc>
          <w:tcPr>
            <w:tcW w:w="1799" w:type="dxa"/>
            <w:vAlign w:val="center"/>
          </w:tcPr>
          <w:p w14:paraId="5024C9F0" w14:textId="6995712E"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7.821003</w:t>
            </w:r>
          </w:p>
        </w:tc>
        <w:tc>
          <w:tcPr>
            <w:tcW w:w="1799" w:type="dxa"/>
            <w:vAlign w:val="center"/>
          </w:tcPr>
          <w:p w14:paraId="2E63D5A7" w14:textId="2523DECF"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0.581331</w:t>
            </w:r>
          </w:p>
        </w:tc>
      </w:tr>
      <w:tr w:rsidR="001B1A76" w:rsidRPr="00040B30" w14:paraId="0D52139A" w14:textId="77777777" w:rsidTr="00445681">
        <w:tc>
          <w:tcPr>
            <w:tcW w:w="1798" w:type="dxa"/>
            <w:vAlign w:val="center"/>
          </w:tcPr>
          <w:p w14:paraId="2213B1EB" w14:textId="4A3469DF"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Propriva</w:t>
            </w:r>
          </w:p>
        </w:tc>
        <w:tc>
          <w:tcPr>
            <w:tcW w:w="1798" w:type="dxa"/>
            <w:vAlign w:val="center"/>
          </w:tcPr>
          <w:p w14:paraId="689D50B9" w14:textId="57CE7DB5"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52.320930</w:t>
            </w:r>
          </w:p>
        </w:tc>
        <w:tc>
          <w:tcPr>
            <w:tcW w:w="1798" w:type="dxa"/>
            <w:vAlign w:val="center"/>
          </w:tcPr>
          <w:p w14:paraId="762EA691" w14:textId="27B95F99"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50.446266</w:t>
            </w:r>
          </w:p>
        </w:tc>
        <w:tc>
          <w:tcPr>
            <w:tcW w:w="1798" w:type="dxa"/>
            <w:vAlign w:val="center"/>
          </w:tcPr>
          <w:p w14:paraId="76B8EEF3" w14:textId="0D953811"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43.852013</w:t>
            </w:r>
          </w:p>
        </w:tc>
        <w:tc>
          <w:tcPr>
            <w:tcW w:w="1799" w:type="dxa"/>
            <w:vAlign w:val="center"/>
          </w:tcPr>
          <w:p w14:paraId="2FB3DE3C" w14:textId="3094A298"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6.622085</w:t>
            </w:r>
          </w:p>
        </w:tc>
        <w:tc>
          <w:tcPr>
            <w:tcW w:w="1799" w:type="dxa"/>
            <w:vAlign w:val="center"/>
          </w:tcPr>
          <w:p w14:paraId="22616450" w14:textId="512E6075"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0.544332</w:t>
            </w:r>
          </w:p>
        </w:tc>
      </w:tr>
      <w:tr w:rsidR="001B1A76" w:rsidRPr="00040B30" w14:paraId="3C1A2E77" w14:textId="77777777" w:rsidTr="006F609B">
        <w:tc>
          <w:tcPr>
            <w:tcW w:w="1798" w:type="dxa"/>
            <w:vAlign w:val="center"/>
          </w:tcPr>
          <w:p w14:paraId="20C6B9D0" w14:textId="5F34545A"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Ramicane</w:t>
            </w:r>
          </w:p>
        </w:tc>
        <w:tc>
          <w:tcPr>
            <w:tcW w:w="1798" w:type="dxa"/>
            <w:vAlign w:val="center"/>
          </w:tcPr>
          <w:p w14:paraId="02D32341" w14:textId="7594EEB0"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40.216745</w:t>
            </w:r>
          </w:p>
        </w:tc>
        <w:tc>
          <w:tcPr>
            <w:tcW w:w="1798" w:type="dxa"/>
            <w:vAlign w:val="center"/>
          </w:tcPr>
          <w:p w14:paraId="78FC1B0C" w14:textId="6D95C8A6"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40.673236</w:t>
            </w:r>
          </w:p>
        </w:tc>
        <w:tc>
          <w:tcPr>
            <w:tcW w:w="1798" w:type="dxa"/>
            <w:vAlign w:val="center"/>
          </w:tcPr>
          <w:p w14:paraId="7AA6A287" w14:textId="263F8C1B"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23.486704</w:t>
            </w:r>
          </w:p>
        </w:tc>
        <w:tc>
          <w:tcPr>
            <w:tcW w:w="1799" w:type="dxa"/>
            <w:vAlign w:val="center"/>
          </w:tcPr>
          <w:p w14:paraId="65B62008" w14:textId="6EEEAEC3"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4.846308</w:t>
            </w:r>
          </w:p>
        </w:tc>
        <w:tc>
          <w:tcPr>
            <w:tcW w:w="1799" w:type="dxa"/>
            <w:vAlign w:val="center"/>
          </w:tcPr>
          <w:p w14:paraId="16F7D103" w14:textId="55B36F91"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0.320955</w:t>
            </w:r>
          </w:p>
        </w:tc>
      </w:tr>
      <w:tr w:rsidR="001B1A76" w:rsidRPr="00040B30" w14:paraId="7525DA79" w14:textId="77777777" w:rsidTr="00DD01A8">
        <w:tc>
          <w:tcPr>
            <w:tcW w:w="1798" w:type="dxa"/>
            <w:vAlign w:val="center"/>
          </w:tcPr>
          <w:p w14:paraId="537564EB" w14:textId="3FB04C09"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b/>
                <w:bCs/>
                <w:sz w:val="24"/>
                <w:szCs w:val="24"/>
              </w:rPr>
              <w:t>Stelasyn</w:t>
            </w:r>
          </w:p>
        </w:tc>
        <w:tc>
          <w:tcPr>
            <w:tcW w:w="1798" w:type="dxa"/>
            <w:vAlign w:val="center"/>
          </w:tcPr>
          <w:p w14:paraId="59AD7578" w14:textId="6961B8A1"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54.233149</w:t>
            </w:r>
          </w:p>
        </w:tc>
        <w:tc>
          <w:tcPr>
            <w:tcW w:w="1798" w:type="dxa"/>
            <w:vAlign w:val="center"/>
          </w:tcPr>
          <w:p w14:paraId="6E805E39" w14:textId="64F4E91B"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52.431737</w:t>
            </w:r>
          </w:p>
        </w:tc>
        <w:tc>
          <w:tcPr>
            <w:tcW w:w="1798" w:type="dxa"/>
            <w:vAlign w:val="center"/>
          </w:tcPr>
          <w:p w14:paraId="4DABA48C" w14:textId="229F8AE0"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59.450562</w:t>
            </w:r>
          </w:p>
        </w:tc>
        <w:tc>
          <w:tcPr>
            <w:tcW w:w="1799" w:type="dxa"/>
            <w:vAlign w:val="center"/>
          </w:tcPr>
          <w:p w14:paraId="4CD461CE" w14:textId="5D9F7396"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7.710419</w:t>
            </w:r>
          </w:p>
        </w:tc>
        <w:tc>
          <w:tcPr>
            <w:tcW w:w="1799" w:type="dxa"/>
            <w:vAlign w:val="center"/>
          </w:tcPr>
          <w:p w14:paraId="0AB8F89A" w14:textId="492234E2"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0.573111</w:t>
            </w:r>
          </w:p>
        </w:tc>
      </w:tr>
      <w:tr w:rsidR="001B1A76" w:rsidRPr="00040B30" w14:paraId="4DF34057" w14:textId="77777777" w:rsidTr="001B1A76">
        <w:tc>
          <w:tcPr>
            <w:tcW w:w="1798" w:type="dxa"/>
          </w:tcPr>
          <w:p w14:paraId="483B4C71" w14:textId="51310FE5" w:rsidR="001B1A76" w:rsidRPr="00040B30" w:rsidRDefault="001B1A76">
            <w:pPr>
              <w:rPr>
                <w:rFonts w:asciiTheme="majorHAnsi" w:hAnsiTheme="majorHAnsi" w:cstheme="majorHAnsi"/>
                <w:sz w:val="24"/>
                <w:szCs w:val="24"/>
              </w:rPr>
            </w:pPr>
            <w:r w:rsidRPr="00040B30">
              <w:rPr>
                <w:rFonts w:asciiTheme="majorHAnsi" w:hAnsiTheme="majorHAnsi" w:cstheme="majorHAnsi"/>
                <w:b/>
                <w:bCs/>
                <w:sz w:val="24"/>
                <w:szCs w:val="24"/>
              </w:rPr>
              <w:t>Zoniferol</w:t>
            </w:r>
          </w:p>
        </w:tc>
        <w:tc>
          <w:tcPr>
            <w:tcW w:w="1798" w:type="dxa"/>
          </w:tcPr>
          <w:p w14:paraId="25F067E4" w14:textId="2F8196AE" w:rsidR="001B1A76" w:rsidRPr="00040B30" w:rsidRDefault="001B1A76">
            <w:pPr>
              <w:rPr>
                <w:rFonts w:asciiTheme="majorHAnsi" w:hAnsiTheme="majorHAnsi" w:cstheme="majorHAnsi"/>
                <w:sz w:val="24"/>
                <w:szCs w:val="24"/>
              </w:rPr>
            </w:pPr>
            <w:r w:rsidRPr="00040B30">
              <w:rPr>
                <w:rFonts w:asciiTheme="majorHAnsi" w:hAnsiTheme="majorHAnsi" w:cstheme="majorHAnsi"/>
                <w:sz w:val="24"/>
                <w:szCs w:val="24"/>
              </w:rPr>
              <w:t>53.236507</w:t>
            </w:r>
          </w:p>
        </w:tc>
        <w:tc>
          <w:tcPr>
            <w:tcW w:w="1798" w:type="dxa"/>
          </w:tcPr>
          <w:p w14:paraId="12CE4B54" w14:textId="5F2A136B" w:rsidR="001B1A76" w:rsidRPr="00040B30" w:rsidRDefault="001B1A76" w:rsidP="001B1A76">
            <w:pPr>
              <w:rPr>
                <w:rFonts w:asciiTheme="majorHAnsi" w:hAnsiTheme="majorHAnsi" w:cstheme="majorHAnsi"/>
                <w:sz w:val="24"/>
                <w:szCs w:val="24"/>
              </w:rPr>
            </w:pPr>
            <w:r w:rsidRPr="00040B30">
              <w:rPr>
                <w:rFonts w:asciiTheme="majorHAnsi" w:hAnsiTheme="majorHAnsi" w:cstheme="majorHAnsi"/>
                <w:sz w:val="24"/>
                <w:szCs w:val="24"/>
              </w:rPr>
              <w:t>51.818479</w:t>
            </w:r>
          </w:p>
        </w:tc>
        <w:tc>
          <w:tcPr>
            <w:tcW w:w="1798" w:type="dxa"/>
          </w:tcPr>
          <w:p w14:paraId="0F2CA385" w14:textId="49683640" w:rsidR="001B1A76" w:rsidRPr="00040B30" w:rsidRDefault="001B1A76">
            <w:pPr>
              <w:rPr>
                <w:rFonts w:asciiTheme="majorHAnsi" w:hAnsiTheme="majorHAnsi" w:cstheme="majorHAnsi"/>
                <w:sz w:val="24"/>
                <w:szCs w:val="24"/>
              </w:rPr>
            </w:pPr>
            <w:r w:rsidRPr="00040B30">
              <w:rPr>
                <w:rFonts w:asciiTheme="majorHAnsi" w:hAnsiTheme="majorHAnsi" w:cstheme="majorHAnsi"/>
                <w:sz w:val="24"/>
                <w:szCs w:val="24"/>
              </w:rPr>
              <w:t>48.533355</w:t>
            </w:r>
          </w:p>
        </w:tc>
        <w:tc>
          <w:tcPr>
            <w:tcW w:w="1799" w:type="dxa"/>
          </w:tcPr>
          <w:p w14:paraId="3E89DC2A" w14:textId="3DAB6AAE" w:rsidR="001B1A76" w:rsidRPr="00040B30" w:rsidRDefault="001B1A76">
            <w:pPr>
              <w:rPr>
                <w:rFonts w:asciiTheme="majorHAnsi" w:hAnsiTheme="majorHAnsi" w:cstheme="majorHAnsi"/>
                <w:sz w:val="24"/>
                <w:szCs w:val="24"/>
              </w:rPr>
            </w:pPr>
            <w:r w:rsidRPr="00040B30">
              <w:rPr>
                <w:rFonts w:asciiTheme="majorHAnsi" w:hAnsiTheme="majorHAnsi" w:cstheme="majorHAnsi"/>
                <w:sz w:val="24"/>
                <w:szCs w:val="24"/>
              </w:rPr>
              <w:t>6.966589</w:t>
            </w:r>
          </w:p>
        </w:tc>
        <w:tc>
          <w:tcPr>
            <w:tcW w:w="1799" w:type="dxa"/>
          </w:tcPr>
          <w:p w14:paraId="49D00F99" w14:textId="5DED955A" w:rsidR="001B1A76" w:rsidRPr="00040B30" w:rsidRDefault="001B1A76">
            <w:pPr>
              <w:rPr>
                <w:rFonts w:asciiTheme="majorHAnsi" w:hAnsiTheme="majorHAnsi" w:cstheme="majorHAnsi"/>
                <w:sz w:val="24"/>
                <w:szCs w:val="24"/>
              </w:rPr>
            </w:pPr>
            <w:r w:rsidRPr="00040B30">
              <w:rPr>
                <w:rFonts w:asciiTheme="majorHAnsi" w:hAnsiTheme="majorHAnsi" w:cstheme="majorHAnsi"/>
                <w:sz w:val="24"/>
                <w:szCs w:val="24"/>
              </w:rPr>
              <w:t>0.516398</w:t>
            </w:r>
          </w:p>
        </w:tc>
      </w:tr>
    </w:tbl>
    <w:p w14:paraId="711D61D3" w14:textId="77777777" w:rsidR="001B1A76" w:rsidRDefault="001B1A76">
      <w:pPr>
        <w:rPr>
          <w:sz w:val="24"/>
          <w:szCs w:val="24"/>
        </w:rPr>
      </w:pPr>
    </w:p>
    <w:p w14:paraId="0459ED72" w14:textId="77777777" w:rsidR="001B1A76" w:rsidRPr="001B1A76" w:rsidRDefault="001B1A76" w:rsidP="001B1A76">
      <w:pPr>
        <w:rPr>
          <w:b/>
          <w:bCs/>
          <w:color w:val="002060"/>
          <w:sz w:val="24"/>
          <w:szCs w:val="24"/>
        </w:rPr>
      </w:pPr>
      <w:r w:rsidRPr="001B1A76">
        <w:rPr>
          <w:b/>
          <w:bCs/>
          <w:color w:val="002060"/>
          <w:sz w:val="24"/>
          <w:szCs w:val="24"/>
        </w:rPr>
        <w:t>Tumor Volume Overview:</w:t>
      </w:r>
    </w:p>
    <w:p w14:paraId="08F6DD06" w14:textId="77777777" w:rsidR="001B1A76" w:rsidRPr="001B1A76" w:rsidRDefault="001B1A76" w:rsidP="001B1A76">
      <w:pPr>
        <w:numPr>
          <w:ilvl w:val="0"/>
          <w:numId w:val="1"/>
        </w:numPr>
        <w:rPr>
          <w:sz w:val="24"/>
          <w:szCs w:val="24"/>
        </w:rPr>
      </w:pPr>
      <w:r w:rsidRPr="001B1A76">
        <w:rPr>
          <w:b/>
          <w:bCs/>
          <w:sz w:val="24"/>
          <w:szCs w:val="24"/>
        </w:rPr>
        <w:t>Capomulin</w:t>
      </w:r>
      <w:r w:rsidRPr="001B1A76">
        <w:rPr>
          <w:sz w:val="24"/>
          <w:szCs w:val="24"/>
        </w:rPr>
        <w:t xml:space="preserve"> and </w:t>
      </w:r>
      <w:r w:rsidRPr="001B1A76">
        <w:rPr>
          <w:b/>
          <w:bCs/>
          <w:sz w:val="24"/>
          <w:szCs w:val="24"/>
        </w:rPr>
        <w:t>Ramicane</w:t>
      </w:r>
      <w:r w:rsidRPr="001B1A76">
        <w:rPr>
          <w:sz w:val="24"/>
          <w:szCs w:val="24"/>
        </w:rPr>
        <w:t xml:space="preserve"> have the smallest mean tumor volumes, approximately </w:t>
      </w:r>
      <w:r w:rsidRPr="001B1A76">
        <w:rPr>
          <w:b/>
          <w:bCs/>
          <w:sz w:val="24"/>
          <w:szCs w:val="24"/>
        </w:rPr>
        <w:t>40.68</w:t>
      </w:r>
      <w:r w:rsidRPr="001B1A76">
        <w:rPr>
          <w:sz w:val="24"/>
          <w:szCs w:val="24"/>
        </w:rPr>
        <w:t xml:space="preserve"> and </w:t>
      </w:r>
      <w:r w:rsidRPr="001B1A76">
        <w:rPr>
          <w:b/>
          <w:bCs/>
          <w:sz w:val="24"/>
          <w:szCs w:val="24"/>
        </w:rPr>
        <w:t>40.22</w:t>
      </w:r>
      <w:r w:rsidRPr="001B1A76">
        <w:rPr>
          <w:sz w:val="24"/>
          <w:szCs w:val="24"/>
        </w:rPr>
        <w:t>, respectively, suggesting these two regimens may be the most effective at reducing tumor size.</w:t>
      </w:r>
    </w:p>
    <w:p w14:paraId="0189E1E9" w14:textId="77777777" w:rsidR="001B1A76" w:rsidRPr="001B1A76" w:rsidRDefault="001B1A76" w:rsidP="001B1A76">
      <w:pPr>
        <w:numPr>
          <w:ilvl w:val="0"/>
          <w:numId w:val="1"/>
        </w:numPr>
        <w:rPr>
          <w:sz w:val="24"/>
          <w:szCs w:val="24"/>
        </w:rPr>
      </w:pPr>
      <w:r w:rsidRPr="001B1A76">
        <w:rPr>
          <w:b/>
          <w:bCs/>
          <w:sz w:val="24"/>
          <w:szCs w:val="24"/>
        </w:rPr>
        <w:t>Ketapril</w:t>
      </w:r>
      <w:r w:rsidRPr="001B1A76">
        <w:rPr>
          <w:sz w:val="24"/>
          <w:szCs w:val="24"/>
        </w:rPr>
        <w:t xml:space="preserve">, </w:t>
      </w:r>
      <w:r w:rsidRPr="001B1A76">
        <w:rPr>
          <w:b/>
          <w:bCs/>
          <w:sz w:val="24"/>
          <w:szCs w:val="24"/>
        </w:rPr>
        <w:t>Naftisol</w:t>
      </w:r>
      <w:r w:rsidRPr="001B1A76">
        <w:rPr>
          <w:sz w:val="24"/>
          <w:szCs w:val="24"/>
        </w:rPr>
        <w:t xml:space="preserve">, </w:t>
      </w:r>
      <w:r w:rsidRPr="001B1A76">
        <w:rPr>
          <w:b/>
          <w:bCs/>
          <w:sz w:val="24"/>
          <w:szCs w:val="24"/>
        </w:rPr>
        <w:t>Placebo</w:t>
      </w:r>
      <w:r w:rsidRPr="001B1A76">
        <w:rPr>
          <w:sz w:val="24"/>
          <w:szCs w:val="24"/>
        </w:rPr>
        <w:t xml:space="preserve">, and </w:t>
      </w:r>
      <w:r w:rsidRPr="001B1A76">
        <w:rPr>
          <w:b/>
          <w:bCs/>
          <w:sz w:val="24"/>
          <w:szCs w:val="24"/>
        </w:rPr>
        <w:t>Stelasyn</w:t>
      </w:r>
      <w:r w:rsidRPr="001B1A76">
        <w:rPr>
          <w:sz w:val="24"/>
          <w:szCs w:val="24"/>
        </w:rPr>
        <w:t xml:space="preserve"> all have higher mean tumor volumes, ranging from </w:t>
      </w:r>
      <w:r w:rsidRPr="001B1A76">
        <w:rPr>
          <w:b/>
          <w:bCs/>
          <w:sz w:val="24"/>
          <w:szCs w:val="24"/>
        </w:rPr>
        <w:t>52.33</w:t>
      </w:r>
      <w:r w:rsidRPr="001B1A76">
        <w:rPr>
          <w:sz w:val="24"/>
          <w:szCs w:val="24"/>
        </w:rPr>
        <w:t xml:space="preserve"> to </w:t>
      </w:r>
      <w:r w:rsidRPr="001B1A76">
        <w:rPr>
          <w:b/>
          <w:bCs/>
          <w:sz w:val="24"/>
          <w:szCs w:val="24"/>
        </w:rPr>
        <w:t>55.24</w:t>
      </w:r>
      <w:r w:rsidRPr="001B1A76">
        <w:rPr>
          <w:sz w:val="24"/>
          <w:szCs w:val="24"/>
        </w:rPr>
        <w:t>, indicating a less pronounced effect in controlling tumor growth.</w:t>
      </w:r>
    </w:p>
    <w:p w14:paraId="21AC5A00" w14:textId="77777777" w:rsidR="001B1A76" w:rsidRPr="001B1A76" w:rsidRDefault="001B1A76" w:rsidP="001B1A76">
      <w:pPr>
        <w:numPr>
          <w:ilvl w:val="0"/>
          <w:numId w:val="1"/>
        </w:numPr>
        <w:rPr>
          <w:sz w:val="24"/>
          <w:szCs w:val="24"/>
        </w:rPr>
      </w:pPr>
      <w:r w:rsidRPr="001B1A76">
        <w:rPr>
          <w:b/>
          <w:bCs/>
          <w:sz w:val="24"/>
          <w:szCs w:val="24"/>
        </w:rPr>
        <w:t>Infubinol</w:t>
      </w:r>
      <w:r w:rsidRPr="001B1A76">
        <w:rPr>
          <w:sz w:val="24"/>
          <w:szCs w:val="24"/>
        </w:rPr>
        <w:t xml:space="preserve">, </w:t>
      </w:r>
      <w:r w:rsidRPr="001B1A76">
        <w:rPr>
          <w:b/>
          <w:bCs/>
          <w:sz w:val="24"/>
          <w:szCs w:val="24"/>
        </w:rPr>
        <w:t>Ceftamin</w:t>
      </w:r>
      <w:r w:rsidRPr="001B1A76">
        <w:rPr>
          <w:sz w:val="24"/>
          <w:szCs w:val="24"/>
        </w:rPr>
        <w:t xml:space="preserve">, and </w:t>
      </w:r>
      <w:r w:rsidRPr="001B1A76">
        <w:rPr>
          <w:b/>
          <w:bCs/>
          <w:sz w:val="24"/>
          <w:szCs w:val="24"/>
        </w:rPr>
        <w:t>Zoniferol</w:t>
      </w:r>
      <w:r w:rsidRPr="001B1A76">
        <w:rPr>
          <w:sz w:val="24"/>
          <w:szCs w:val="24"/>
        </w:rPr>
        <w:t xml:space="preserve"> also show similar trends, with mean tumor volumes around </w:t>
      </w:r>
      <w:r w:rsidRPr="001B1A76">
        <w:rPr>
          <w:b/>
          <w:bCs/>
          <w:sz w:val="24"/>
          <w:szCs w:val="24"/>
        </w:rPr>
        <w:t>52.88</w:t>
      </w:r>
      <w:r w:rsidRPr="001B1A76">
        <w:rPr>
          <w:sz w:val="24"/>
          <w:szCs w:val="24"/>
        </w:rPr>
        <w:t xml:space="preserve">, </w:t>
      </w:r>
      <w:r w:rsidRPr="001B1A76">
        <w:rPr>
          <w:b/>
          <w:bCs/>
          <w:sz w:val="24"/>
          <w:szCs w:val="24"/>
        </w:rPr>
        <w:t>52.59</w:t>
      </w:r>
      <w:r w:rsidRPr="001B1A76">
        <w:rPr>
          <w:sz w:val="24"/>
          <w:szCs w:val="24"/>
        </w:rPr>
        <w:t xml:space="preserve">, and </w:t>
      </w:r>
      <w:r w:rsidRPr="001B1A76">
        <w:rPr>
          <w:b/>
          <w:bCs/>
          <w:sz w:val="24"/>
          <w:szCs w:val="24"/>
        </w:rPr>
        <w:t>53.24</w:t>
      </w:r>
      <w:r w:rsidRPr="001B1A76">
        <w:rPr>
          <w:sz w:val="24"/>
          <w:szCs w:val="24"/>
        </w:rPr>
        <w:t>, respectively.</w:t>
      </w:r>
    </w:p>
    <w:p w14:paraId="6C0567DF" w14:textId="77777777" w:rsidR="001B1A76" w:rsidRPr="001B1A76" w:rsidRDefault="001B1A76" w:rsidP="001B1A76">
      <w:pPr>
        <w:rPr>
          <w:b/>
          <w:bCs/>
          <w:color w:val="002060"/>
          <w:sz w:val="24"/>
          <w:szCs w:val="24"/>
        </w:rPr>
      </w:pPr>
      <w:r w:rsidRPr="001B1A76">
        <w:rPr>
          <w:b/>
          <w:bCs/>
          <w:color w:val="002060"/>
          <w:sz w:val="24"/>
          <w:szCs w:val="24"/>
        </w:rPr>
        <w:t>Variance &amp; Standard Deviation:</w:t>
      </w:r>
    </w:p>
    <w:p w14:paraId="266ED25B" w14:textId="687EA84D" w:rsidR="001B1A76" w:rsidRPr="001B1A76" w:rsidRDefault="001B1A76" w:rsidP="001B1A76">
      <w:pPr>
        <w:numPr>
          <w:ilvl w:val="0"/>
          <w:numId w:val="2"/>
        </w:numPr>
        <w:rPr>
          <w:sz w:val="24"/>
          <w:szCs w:val="24"/>
        </w:rPr>
      </w:pPr>
      <w:r w:rsidRPr="001B1A76">
        <w:rPr>
          <w:b/>
          <w:bCs/>
          <w:sz w:val="24"/>
          <w:szCs w:val="24"/>
        </w:rPr>
        <w:t>Ketapril</w:t>
      </w:r>
      <w:r w:rsidRPr="001B1A76">
        <w:rPr>
          <w:sz w:val="24"/>
          <w:szCs w:val="24"/>
        </w:rPr>
        <w:t xml:space="preserve"> and </w:t>
      </w:r>
      <w:r w:rsidRPr="001B1A76">
        <w:rPr>
          <w:b/>
          <w:bCs/>
          <w:sz w:val="24"/>
          <w:szCs w:val="24"/>
        </w:rPr>
        <w:t>Naftisol</w:t>
      </w:r>
      <w:r w:rsidRPr="001B1A76">
        <w:rPr>
          <w:sz w:val="24"/>
          <w:szCs w:val="24"/>
        </w:rPr>
        <w:t xml:space="preserve"> show the highest variance and standard deviation (68.55 and 66.17 for variance), which suggests greater variability in the tumor volume response among mice treated with these drugs. </w:t>
      </w:r>
    </w:p>
    <w:p w14:paraId="0488C45B" w14:textId="77777777" w:rsidR="001B1A76" w:rsidRPr="001B1A76" w:rsidRDefault="001B1A76" w:rsidP="001B1A76">
      <w:pPr>
        <w:numPr>
          <w:ilvl w:val="0"/>
          <w:numId w:val="2"/>
        </w:numPr>
        <w:rPr>
          <w:sz w:val="24"/>
          <w:szCs w:val="24"/>
        </w:rPr>
      </w:pPr>
      <w:r w:rsidRPr="001B1A76">
        <w:rPr>
          <w:b/>
          <w:bCs/>
          <w:sz w:val="24"/>
          <w:szCs w:val="24"/>
        </w:rPr>
        <w:t>Capomulin</w:t>
      </w:r>
      <w:r w:rsidRPr="001B1A76">
        <w:rPr>
          <w:sz w:val="24"/>
          <w:szCs w:val="24"/>
        </w:rPr>
        <w:t xml:space="preserve"> and </w:t>
      </w:r>
      <w:r w:rsidRPr="001B1A76">
        <w:rPr>
          <w:b/>
          <w:bCs/>
          <w:sz w:val="24"/>
          <w:szCs w:val="24"/>
        </w:rPr>
        <w:t>Ramicane</w:t>
      </w:r>
      <w:r w:rsidRPr="001B1A76">
        <w:rPr>
          <w:sz w:val="24"/>
          <w:szCs w:val="24"/>
        </w:rPr>
        <w:t xml:space="preserve"> show lower variance (24.95 and 23.49), which implies that their effects are more consistent and reliable across the subjects.</w:t>
      </w:r>
    </w:p>
    <w:p w14:paraId="0DE17BA1" w14:textId="77777777" w:rsidR="001B1A76" w:rsidRPr="001B1A76" w:rsidRDefault="001B1A76" w:rsidP="001B1A76">
      <w:pPr>
        <w:rPr>
          <w:b/>
          <w:bCs/>
          <w:color w:val="002060"/>
          <w:sz w:val="24"/>
          <w:szCs w:val="24"/>
        </w:rPr>
      </w:pPr>
      <w:r w:rsidRPr="001B1A76">
        <w:rPr>
          <w:b/>
          <w:bCs/>
          <w:color w:val="002060"/>
          <w:sz w:val="24"/>
          <w:szCs w:val="24"/>
        </w:rPr>
        <w:t>Standard Error:</w:t>
      </w:r>
    </w:p>
    <w:p w14:paraId="1E50752E" w14:textId="77777777" w:rsidR="001B1A76" w:rsidRPr="001B1A76" w:rsidRDefault="001B1A76" w:rsidP="001B1A76">
      <w:pPr>
        <w:numPr>
          <w:ilvl w:val="0"/>
          <w:numId w:val="3"/>
        </w:numPr>
        <w:rPr>
          <w:sz w:val="24"/>
          <w:szCs w:val="24"/>
        </w:rPr>
      </w:pPr>
      <w:r w:rsidRPr="001B1A76">
        <w:rPr>
          <w:sz w:val="24"/>
          <w:szCs w:val="24"/>
        </w:rPr>
        <w:t xml:space="preserve">The </w:t>
      </w:r>
      <w:r w:rsidRPr="001B1A76">
        <w:rPr>
          <w:b/>
          <w:bCs/>
          <w:sz w:val="24"/>
          <w:szCs w:val="24"/>
        </w:rPr>
        <w:t>Standard Error</w:t>
      </w:r>
      <w:r w:rsidRPr="001B1A76">
        <w:rPr>
          <w:sz w:val="24"/>
          <w:szCs w:val="24"/>
        </w:rPr>
        <w:t xml:space="preserve"> (indicating the precision of the mean tumor volume estimate) is fairly low across all drug regimens, with </w:t>
      </w:r>
      <w:r w:rsidRPr="001B1A76">
        <w:rPr>
          <w:b/>
          <w:bCs/>
          <w:sz w:val="24"/>
          <w:szCs w:val="24"/>
        </w:rPr>
        <w:t>Capomulin</w:t>
      </w:r>
      <w:r w:rsidRPr="001B1A76">
        <w:rPr>
          <w:sz w:val="24"/>
          <w:szCs w:val="24"/>
        </w:rPr>
        <w:t xml:space="preserve"> (0.33) and </w:t>
      </w:r>
      <w:r w:rsidRPr="001B1A76">
        <w:rPr>
          <w:b/>
          <w:bCs/>
          <w:sz w:val="24"/>
          <w:szCs w:val="24"/>
        </w:rPr>
        <w:t>Ramicane</w:t>
      </w:r>
      <w:r w:rsidRPr="001B1A76">
        <w:rPr>
          <w:sz w:val="24"/>
          <w:szCs w:val="24"/>
        </w:rPr>
        <w:t xml:space="preserve"> (0.32) having the lowest, suggesting more accurate estimates of tumor volume for these drugs. In contrast, </w:t>
      </w:r>
      <w:r w:rsidRPr="001B1A76">
        <w:rPr>
          <w:b/>
          <w:bCs/>
          <w:sz w:val="24"/>
          <w:szCs w:val="24"/>
        </w:rPr>
        <w:t>Ketapril</w:t>
      </w:r>
      <w:r w:rsidRPr="001B1A76">
        <w:rPr>
          <w:sz w:val="24"/>
          <w:szCs w:val="24"/>
        </w:rPr>
        <w:t xml:space="preserve"> (0.60) has the highest standard error, meaning its tumor volume estimate is less precise.</w:t>
      </w:r>
    </w:p>
    <w:p w14:paraId="26A6823A" w14:textId="77777777" w:rsidR="008D26A1" w:rsidRDefault="008D26A1" w:rsidP="001B1A76">
      <w:pPr>
        <w:rPr>
          <w:b/>
          <w:bCs/>
          <w:color w:val="7030A0"/>
          <w:sz w:val="24"/>
          <w:szCs w:val="24"/>
          <w:u w:val="single"/>
        </w:rPr>
      </w:pPr>
    </w:p>
    <w:p w14:paraId="64C86345" w14:textId="77777777" w:rsidR="008D26A1" w:rsidRDefault="008D26A1" w:rsidP="001B1A76">
      <w:pPr>
        <w:rPr>
          <w:b/>
          <w:bCs/>
          <w:color w:val="7030A0"/>
          <w:sz w:val="24"/>
          <w:szCs w:val="24"/>
          <w:u w:val="single"/>
        </w:rPr>
      </w:pPr>
    </w:p>
    <w:p w14:paraId="0FAC2734" w14:textId="5CDEA763" w:rsidR="001B1A76" w:rsidRPr="001B1A76" w:rsidRDefault="001B1A76" w:rsidP="001B1A76">
      <w:pPr>
        <w:rPr>
          <w:b/>
          <w:bCs/>
          <w:color w:val="7030A0"/>
          <w:sz w:val="24"/>
          <w:szCs w:val="24"/>
          <w:u w:val="single"/>
        </w:rPr>
      </w:pPr>
      <w:r w:rsidRPr="001B1A76">
        <w:rPr>
          <w:b/>
          <w:bCs/>
          <w:color w:val="7030A0"/>
          <w:sz w:val="24"/>
          <w:szCs w:val="24"/>
          <w:u w:val="single"/>
        </w:rPr>
        <w:t>Summary:</w:t>
      </w:r>
    </w:p>
    <w:p w14:paraId="5A689FED" w14:textId="77777777" w:rsidR="001B1A76" w:rsidRPr="001B1A76" w:rsidRDefault="001B1A76" w:rsidP="001B1A76">
      <w:pPr>
        <w:numPr>
          <w:ilvl w:val="0"/>
          <w:numId w:val="4"/>
        </w:numPr>
        <w:rPr>
          <w:sz w:val="24"/>
          <w:szCs w:val="24"/>
        </w:rPr>
      </w:pPr>
      <w:r w:rsidRPr="001B1A76">
        <w:rPr>
          <w:b/>
          <w:bCs/>
          <w:sz w:val="24"/>
          <w:szCs w:val="24"/>
        </w:rPr>
        <w:t>Capomulin</w:t>
      </w:r>
      <w:r w:rsidRPr="001B1A76">
        <w:rPr>
          <w:sz w:val="24"/>
          <w:szCs w:val="24"/>
        </w:rPr>
        <w:t xml:space="preserve"> and </w:t>
      </w:r>
      <w:r w:rsidRPr="001B1A76">
        <w:rPr>
          <w:b/>
          <w:bCs/>
          <w:sz w:val="24"/>
          <w:szCs w:val="24"/>
        </w:rPr>
        <w:t>Ramicane</w:t>
      </w:r>
      <w:r w:rsidRPr="001B1A76">
        <w:rPr>
          <w:sz w:val="24"/>
          <w:szCs w:val="24"/>
        </w:rPr>
        <w:t xml:space="preserve"> stand out as the most effective treatments with the lowest mean tumor volume and minimal variance, suggesting they are both potent and reliable.</w:t>
      </w:r>
    </w:p>
    <w:p w14:paraId="7ACC1D1D" w14:textId="23BE5869" w:rsidR="001B1A76" w:rsidRPr="001B1A76" w:rsidRDefault="001B1A76" w:rsidP="001B1A76">
      <w:pPr>
        <w:numPr>
          <w:ilvl w:val="0"/>
          <w:numId w:val="4"/>
        </w:numPr>
        <w:rPr>
          <w:sz w:val="24"/>
          <w:szCs w:val="24"/>
        </w:rPr>
      </w:pPr>
      <w:r w:rsidRPr="001B1A76">
        <w:rPr>
          <w:b/>
          <w:bCs/>
          <w:sz w:val="24"/>
          <w:szCs w:val="24"/>
        </w:rPr>
        <w:t>Ketapril</w:t>
      </w:r>
      <w:r w:rsidRPr="001B1A76">
        <w:rPr>
          <w:sz w:val="24"/>
          <w:szCs w:val="24"/>
        </w:rPr>
        <w:t xml:space="preserve"> and </w:t>
      </w:r>
      <w:r w:rsidRPr="001B1A76">
        <w:rPr>
          <w:b/>
          <w:bCs/>
          <w:sz w:val="24"/>
          <w:szCs w:val="24"/>
        </w:rPr>
        <w:t>Naftisol</w:t>
      </w:r>
      <w:r w:rsidRPr="001B1A76">
        <w:rPr>
          <w:sz w:val="24"/>
          <w:szCs w:val="24"/>
        </w:rPr>
        <w:t xml:space="preserve"> have the highest tumor volumes and variability, suggesting they might be less effective.</w:t>
      </w:r>
    </w:p>
    <w:p w14:paraId="0385CF75" w14:textId="77777777" w:rsidR="001B1A76" w:rsidRPr="001B1A76" w:rsidRDefault="001B1A76" w:rsidP="001B1A76">
      <w:pPr>
        <w:numPr>
          <w:ilvl w:val="0"/>
          <w:numId w:val="4"/>
        </w:numPr>
        <w:rPr>
          <w:sz w:val="24"/>
          <w:szCs w:val="24"/>
        </w:rPr>
      </w:pPr>
      <w:r w:rsidRPr="001B1A76">
        <w:rPr>
          <w:sz w:val="24"/>
          <w:szCs w:val="24"/>
        </w:rPr>
        <w:t xml:space="preserve">The </w:t>
      </w:r>
      <w:r w:rsidRPr="001B1A76">
        <w:rPr>
          <w:b/>
          <w:bCs/>
          <w:sz w:val="24"/>
          <w:szCs w:val="24"/>
        </w:rPr>
        <w:t>Placebo</w:t>
      </w:r>
      <w:r w:rsidRPr="001B1A76">
        <w:rPr>
          <w:sz w:val="24"/>
          <w:szCs w:val="24"/>
        </w:rPr>
        <w:t xml:space="preserve"> group shows a mean tumor volume similar to that of the other drug treatments, indicating it may not significantly differ in efficacy compared to certain treatments like </w:t>
      </w:r>
      <w:r w:rsidRPr="001B1A76">
        <w:rPr>
          <w:b/>
          <w:bCs/>
          <w:sz w:val="24"/>
          <w:szCs w:val="24"/>
        </w:rPr>
        <w:t>Ceftamin</w:t>
      </w:r>
      <w:r w:rsidRPr="001B1A76">
        <w:rPr>
          <w:sz w:val="24"/>
          <w:szCs w:val="24"/>
        </w:rPr>
        <w:t xml:space="preserve"> and </w:t>
      </w:r>
      <w:r w:rsidRPr="001B1A76">
        <w:rPr>
          <w:b/>
          <w:bCs/>
          <w:sz w:val="24"/>
          <w:szCs w:val="24"/>
        </w:rPr>
        <w:t>Infubinol</w:t>
      </w:r>
      <w:r w:rsidRPr="001B1A76">
        <w:rPr>
          <w:sz w:val="24"/>
          <w:szCs w:val="24"/>
        </w:rPr>
        <w:t>.</w:t>
      </w:r>
    </w:p>
    <w:p w14:paraId="3F7480F6" w14:textId="77777777" w:rsidR="001B1A76" w:rsidRDefault="001B1A76" w:rsidP="001B1A76">
      <w:pPr>
        <w:rPr>
          <w:sz w:val="24"/>
          <w:szCs w:val="24"/>
        </w:rPr>
      </w:pPr>
      <w:r w:rsidRPr="001B1A76">
        <w:rPr>
          <w:sz w:val="24"/>
          <w:szCs w:val="24"/>
        </w:rPr>
        <w:t xml:space="preserve">In conclusion, </w:t>
      </w:r>
      <w:r w:rsidRPr="001B1A76">
        <w:rPr>
          <w:b/>
          <w:bCs/>
          <w:sz w:val="24"/>
          <w:szCs w:val="24"/>
        </w:rPr>
        <w:t>Capomulin</w:t>
      </w:r>
      <w:r w:rsidRPr="001B1A76">
        <w:rPr>
          <w:sz w:val="24"/>
          <w:szCs w:val="24"/>
        </w:rPr>
        <w:t xml:space="preserve"> and </w:t>
      </w:r>
      <w:r w:rsidRPr="001B1A76">
        <w:rPr>
          <w:b/>
          <w:bCs/>
          <w:sz w:val="24"/>
          <w:szCs w:val="24"/>
        </w:rPr>
        <w:t>Ramicane</w:t>
      </w:r>
      <w:r w:rsidRPr="001B1A76">
        <w:rPr>
          <w:sz w:val="24"/>
          <w:szCs w:val="24"/>
        </w:rPr>
        <w:t xml:space="preserve"> appear to be the most promising drug regimens, showing consistent and significant tumor size reduction.</w:t>
      </w:r>
    </w:p>
    <w:p w14:paraId="5401E574" w14:textId="015BEC87" w:rsidR="00E728EF" w:rsidRDefault="00330FC5" w:rsidP="00E728EF">
      <w:pPr>
        <w:rPr>
          <w:b/>
          <w:bCs/>
          <w:color w:val="002060"/>
          <w:sz w:val="24"/>
          <w:szCs w:val="24"/>
        </w:rPr>
      </w:pPr>
      <w:r w:rsidRPr="00330FC5">
        <w:rPr>
          <w:b/>
          <w:bCs/>
          <w:color w:val="002060"/>
          <w:sz w:val="24"/>
          <w:szCs w:val="24"/>
        </w:rPr>
        <w:t>Quartiles, Outliers and Boxplots</w:t>
      </w:r>
      <w:r w:rsidR="00E728EF" w:rsidRPr="00E728EF">
        <w:rPr>
          <w:b/>
          <w:bCs/>
          <w:color w:val="002060"/>
          <w:sz w:val="24"/>
          <w:szCs w:val="24"/>
        </w:rPr>
        <w:t>:</w:t>
      </w:r>
    </w:p>
    <w:p w14:paraId="34E13A11" w14:textId="34EB9FCC" w:rsidR="00D43C7D" w:rsidRDefault="00D43C7D" w:rsidP="00D43C7D">
      <w:pPr>
        <w:jc w:val="center"/>
        <w:rPr>
          <w:b/>
          <w:bCs/>
          <w:color w:val="002060"/>
          <w:sz w:val="24"/>
          <w:szCs w:val="24"/>
        </w:rPr>
      </w:pPr>
      <w:r w:rsidRPr="00D43C7D">
        <w:rPr>
          <w:b/>
          <w:bCs/>
          <w:color w:val="002060"/>
          <w:sz w:val="24"/>
          <w:szCs w:val="24"/>
        </w:rPr>
        <w:drawing>
          <wp:inline distT="0" distB="0" distL="0" distR="0" wp14:anchorId="4E5E17B8" wp14:editId="78B0D2B8">
            <wp:extent cx="3735070" cy="2303226"/>
            <wp:effectExtent l="0" t="0" r="0" b="1905"/>
            <wp:docPr id="179322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24690" name=""/>
                    <pic:cNvPicPr/>
                  </pic:nvPicPr>
                  <pic:blipFill>
                    <a:blip r:embed="rId8"/>
                    <a:stretch>
                      <a:fillRect/>
                    </a:stretch>
                  </pic:blipFill>
                  <pic:spPr>
                    <a:xfrm>
                      <a:off x="0" y="0"/>
                      <a:ext cx="3777692" cy="2329509"/>
                    </a:xfrm>
                    <a:prstGeom prst="rect">
                      <a:avLst/>
                    </a:prstGeom>
                  </pic:spPr>
                </pic:pic>
              </a:graphicData>
            </a:graphic>
          </wp:inline>
        </w:drawing>
      </w:r>
    </w:p>
    <w:p w14:paraId="3BCE3F87" w14:textId="77777777" w:rsidR="00330FC5" w:rsidRPr="00330FC5" w:rsidRDefault="00330FC5" w:rsidP="00330FC5">
      <w:pPr>
        <w:numPr>
          <w:ilvl w:val="0"/>
          <w:numId w:val="6"/>
        </w:numPr>
        <w:rPr>
          <w:b/>
          <w:bCs/>
          <w:sz w:val="24"/>
          <w:szCs w:val="24"/>
        </w:rPr>
      </w:pPr>
      <w:r w:rsidRPr="00330FC5">
        <w:rPr>
          <w:b/>
          <w:bCs/>
          <w:sz w:val="24"/>
          <w:szCs w:val="24"/>
        </w:rPr>
        <w:t>Capomulin and Ramicane:</w:t>
      </w:r>
    </w:p>
    <w:p w14:paraId="7267FA47" w14:textId="3E8DA0A1" w:rsidR="00330FC5" w:rsidRPr="00330FC5" w:rsidRDefault="00330FC5" w:rsidP="00330FC5">
      <w:pPr>
        <w:numPr>
          <w:ilvl w:val="1"/>
          <w:numId w:val="6"/>
        </w:numPr>
        <w:rPr>
          <w:rFonts w:cstheme="minorHAnsi"/>
          <w:sz w:val="24"/>
          <w:szCs w:val="24"/>
        </w:rPr>
      </w:pPr>
      <w:r w:rsidRPr="00330FC5">
        <w:rPr>
          <w:rFonts w:cstheme="minorHAnsi"/>
          <w:sz w:val="24"/>
          <w:szCs w:val="24"/>
        </w:rPr>
        <w:t>These two groups show smaller boxes (indicating less variance) and a median line closer to the lower part of the box, suggesting they are the most effective treatments. Outliers may still exist, but overall, their distributions are concentrated in the lower tumor volume range.</w:t>
      </w:r>
    </w:p>
    <w:p w14:paraId="19F966A3" w14:textId="5B1D97B3" w:rsidR="00330FC5" w:rsidRPr="00330FC5" w:rsidRDefault="00330FC5" w:rsidP="00330FC5">
      <w:pPr>
        <w:numPr>
          <w:ilvl w:val="0"/>
          <w:numId w:val="6"/>
        </w:numPr>
        <w:rPr>
          <w:b/>
          <w:bCs/>
          <w:sz w:val="24"/>
          <w:szCs w:val="24"/>
        </w:rPr>
      </w:pPr>
      <w:r w:rsidRPr="00330FC5">
        <w:rPr>
          <w:b/>
          <w:bCs/>
          <w:sz w:val="24"/>
          <w:szCs w:val="24"/>
        </w:rPr>
        <w:t>Ceftamin, Infubinol:</w:t>
      </w:r>
    </w:p>
    <w:p w14:paraId="3C2D9887" w14:textId="77777777" w:rsidR="00B770BC" w:rsidRPr="00B770BC" w:rsidRDefault="00B770BC" w:rsidP="008366DE">
      <w:pPr>
        <w:numPr>
          <w:ilvl w:val="1"/>
          <w:numId w:val="6"/>
        </w:numPr>
        <w:rPr>
          <w:b/>
          <w:bCs/>
          <w:sz w:val="24"/>
          <w:szCs w:val="24"/>
        </w:rPr>
      </w:pPr>
      <w:r w:rsidRPr="00330FC5">
        <w:rPr>
          <w:rFonts w:cstheme="minorHAnsi"/>
          <w:sz w:val="24"/>
          <w:szCs w:val="24"/>
        </w:rPr>
        <w:t xml:space="preserve">These two groups show </w:t>
      </w:r>
      <w:r w:rsidR="00330FC5" w:rsidRPr="00330FC5">
        <w:rPr>
          <w:sz w:val="24"/>
          <w:szCs w:val="24"/>
        </w:rPr>
        <w:t>more variability in tumor volumes. The median line could be higher, indicating less consistent reduction in tumor volume.</w:t>
      </w:r>
    </w:p>
    <w:p w14:paraId="12A366A5" w14:textId="325D3100" w:rsidR="00330FC5" w:rsidRPr="00330FC5" w:rsidRDefault="00330FC5" w:rsidP="00B770BC">
      <w:pPr>
        <w:rPr>
          <w:b/>
          <w:bCs/>
          <w:color w:val="7030A0"/>
          <w:sz w:val="24"/>
          <w:szCs w:val="24"/>
        </w:rPr>
      </w:pPr>
      <w:r w:rsidRPr="00330FC5">
        <w:rPr>
          <w:color w:val="7030A0"/>
          <w:sz w:val="24"/>
          <w:szCs w:val="24"/>
        </w:rPr>
        <w:t xml:space="preserve"> </w:t>
      </w:r>
      <w:r w:rsidRPr="00330FC5">
        <w:rPr>
          <w:b/>
          <w:bCs/>
          <w:color w:val="7030A0"/>
          <w:sz w:val="24"/>
          <w:szCs w:val="24"/>
        </w:rPr>
        <w:t>Conclusion:</w:t>
      </w:r>
    </w:p>
    <w:p w14:paraId="21A59100" w14:textId="5251A9EB" w:rsidR="00330FC5" w:rsidRPr="00330FC5" w:rsidRDefault="00330FC5" w:rsidP="00330FC5">
      <w:pPr>
        <w:numPr>
          <w:ilvl w:val="0"/>
          <w:numId w:val="7"/>
        </w:numPr>
        <w:rPr>
          <w:sz w:val="24"/>
          <w:szCs w:val="24"/>
        </w:rPr>
      </w:pPr>
      <w:r w:rsidRPr="00330FC5">
        <w:rPr>
          <w:sz w:val="24"/>
          <w:szCs w:val="24"/>
        </w:rPr>
        <w:t>Capomulin and Ramicane have the most favorable and consistent tumor volume distributions, with lower median values and fewer extreme outliers.</w:t>
      </w:r>
    </w:p>
    <w:p w14:paraId="349DBBA4" w14:textId="77777777" w:rsidR="00D43C7D" w:rsidRDefault="00330FC5" w:rsidP="00D43C7D">
      <w:pPr>
        <w:pStyle w:val="ListParagraph"/>
        <w:numPr>
          <w:ilvl w:val="0"/>
          <w:numId w:val="7"/>
        </w:numPr>
        <w:rPr>
          <w:sz w:val="24"/>
          <w:szCs w:val="24"/>
        </w:rPr>
      </w:pPr>
      <w:r w:rsidRPr="00B770BC">
        <w:rPr>
          <w:sz w:val="24"/>
          <w:szCs w:val="24"/>
        </w:rPr>
        <w:t>This box plot offers a clear visual tool to understand the variability and effectiveness of each treatment group.</w:t>
      </w:r>
    </w:p>
    <w:p w14:paraId="04A4BBBF" w14:textId="77777777" w:rsidR="00D43C7D" w:rsidRDefault="00D43C7D" w:rsidP="00D43C7D">
      <w:pPr>
        <w:rPr>
          <w:rFonts w:eastAsia="Times New Roman" w:cstheme="minorHAnsi"/>
          <w:b/>
          <w:bCs/>
          <w:kern w:val="0"/>
          <w:sz w:val="24"/>
          <w:szCs w:val="24"/>
          <w14:ligatures w14:val="none"/>
        </w:rPr>
      </w:pPr>
    </w:p>
    <w:p w14:paraId="28936AA2" w14:textId="6C228DBF" w:rsidR="00D43C7D" w:rsidRPr="00D43C7D" w:rsidRDefault="00D43C7D" w:rsidP="00D43C7D">
      <w:pPr>
        <w:rPr>
          <w:rFonts w:eastAsia="Times New Roman" w:cstheme="minorHAnsi"/>
          <w:b/>
          <w:bCs/>
          <w:color w:val="002060"/>
          <w:kern w:val="0"/>
          <w:sz w:val="24"/>
          <w:szCs w:val="24"/>
          <w14:ligatures w14:val="none"/>
        </w:rPr>
      </w:pPr>
      <w:r w:rsidRPr="00D43C7D">
        <w:rPr>
          <w:rFonts w:eastAsia="Times New Roman" w:cstheme="minorHAnsi"/>
          <w:b/>
          <w:bCs/>
          <w:color w:val="002060"/>
          <w:kern w:val="0"/>
          <w:sz w:val="24"/>
          <w:szCs w:val="24"/>
          <w14:ligatures w14:val="none"/>
        </w:rPr>
        <w:lastRenderedPageBreak/>
        <w:t>Line and Scatter Plots</w:t>
      </w:r>
      <w:r w:rsidRPr="00D43C7D">
        <w:rPr>
          <w:rFonts w:eastAsia="Times New Roman" w:cstheme="minorHAnsi"/>
          <w:b/>
          <w:bCs/>
          <w:color w:val="002060"/>
          <w:kern w:val="0"/>
          <w:sz w:val="24"/>
          <w:szCs w:val="24"/>
          <w14:ligatures w14:val="none"/>
        </w:rPr>
        <w:t>:</w:t>
      </w:r>
    </w:p>
    <w:p w14:paraId="62F39644" w14:textId="05C693E3" w:rsidR="00D43C7D" w:rsidRDefault="00D43C7D" w:rsidP="00D43C7D">
      <w:pPr>
        <w:jc w:val="center"/>
        <w:rPr>
          <w:rFonts w:eastAsia="Times New Roman" w:cstheme="minorHAnsi"/>
          <w:b/>
          <w:bCs/>
          <w:kern w:val="0"/>
          <w:sz w:val="24"/>
          <w:szCs w:val="24"/>
          <w14:ligatures w14:val="none"/>
        </w:rPr>
      </w:pPr>
      <w:r w:rsidRPr="00D43C7D">
        <w:rPr>
          <w:noProof/>
        </w:rPr>
        <w:t xml:space="preserve"> </w:t>
      </w:r>
      <w:r w:rsidRPr="00D43C7D">
        <w:rPr>
          <w:rFonts w:eastAsia="Times New Roman" w:cstheme="minorHAnsi"/>
          <w:b/>
          <w:bCs/>
          <w:kern w:val="0"/>
          <w:sz w:val="24"/>
          <w:szCs w:val="24"/>
          <w14:ligatures w14:val="none"/>
        </w:rPr>
        <w:drawing>
          <wp:inline distT="0" distB="0" distL="0" distR="0" wp14:anchorId="0B76B6F2" wp14:editId="6A2C6AFA">
            <wp:extent cx="3745111" cy="2532185"/>
            <wp:effectExtent l="0" t="0" r="8255" b="1905"/>
            <wp:docPr id="147523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37988" name=""/>
                    <pic:cNvPicPr/>
                  </pic:nvPicPr>
                  <pic:blipFill>
                    <a:blip r:embed="rId9"/>
                    <a:stretch>
                      <a:fillRect/>
                    </a:stretch>
                  </pic:blipFill>
                  <pic:spPr>
                    <a:xfrm>
                      <a:off x="0" y="0"/>
                      <a:ext cx="3764662" cy="2545404"/>
                    </a:xfrm>
                    <a:prstGeom prst="rect">
                      <a:avLst/>
                    </a:prstGeom>
                  </pic:spPr>
                </pic:pic>
              </a:graphicData>
            </a:graphic>
          </wp:inline>
        </w:drawing>
      </w:r>
    </w:p>
    <w:p w14:paraId="53229E51" w14:textId="77777777" w:rsidR="00D43C7D" w:rsidRDefault="00D43C7D" w:rsidP="00D43C7D">
      <w:pPr>
        <w:rPr>
          <w:rFonts w:eastAsia="Times New Roman" w:cstheme="minorHAnsi"/>
          <w:b/>
          <w:bCs/>
          <w:kern w:val="0"/>
          <w:sz w:val="24"/>
          <w:szCs w:val="24"/>
          <w14:ligatures w14:val="none"/>
        </w:rPr>
      </w:pPr>
    </w:p>
    <w:p w14:paraId="251BA91C" w14:textId="21AF3150" w:rsidR="00D43C7D" w:rsidRPr="00D43C7D" w:rsidRDefault="00D43C7D" w:rsidP="00D43C7D">
      <w:pPr>
        <w:rPr>
          <w:rFonts w:cstheme="minorHAnsi"/>
          <w:sz w:val="24"/>
          <w:szCs w:val="24"/>
        </w:rPr>
      </w:pPr>
      <w:r>
        <w:rPr>
          <w:rFonts w:cstheme="minorHAnsi"/>
          <w:sz w:val="24"/>
          <w:szCs w:val="24"/>
        </w:rPr>
        <w:t xml:space="preserve">           </w:t>
      </w:r>
      <w:r w:rsidRPr="00D43C7D">
        <w:rPr>
          <w:rFonts w:cstheme="minorHAnsi"/>
          <w:sz w:val="24"/>
          <w:szCs w:val="24"/>
        </w:rPr>
        <w:t>The line plot highlights that Capomulin is an effective treatment for tumor size reduction in the initial stages, as seen in the early decrease in tumor volume. However, the slight rebound towards the end suggests that the treatment may require adjustments to sustain its effectiveness over longer periods.</w:t>
      </w:r>
    </w:p>
    <w:p w14:paraId="03C22AE5" w14:textId="77777777" w:rsidR="00040B30" w:rsidRDefault="00040B30" w:rsidP="00040B30">
      <w:pPr>
        <w:rPr>
          <w:b/>
          <w:bCs/>
          <w:color w:val="002060"/>
          <w:sz w:val="24"/>
          <w:szCs w:val="24"/>
        </w:rPr>
      </w:pPr>
    </w:p>
    <w:p w14:paraId="55853F95" w14:textId="1A7B4673" w:rsidR="00E728EF" w:rsidRPr="001B1A76" w:rsidRDefault="00040B30" w:rsidP="001B1A76">
      <w:pPr>
        <w:rPr>
          <w:b/>
          <w:bCs/>
          <w:color w:val="002060"/>
          <w:sz w:val="24"/>
          <w:szCs w:val="24"/>
        </w:rPr>
      </w:pPr>
      <w:r w:rsidRPr="00040B30">
        <w:rPr>
          <w:b/>
          <w:bCs/>
          <w:color w:val="002060"/>
          <w:sz w:val="24"/>
          <w:szCs w:val="24"/>
        </w:rPr>
        <w:t>Correlation and Regression</w:t>
      </w:r>
      <w:r>
        <w:rPr>
          <w:b/>
          <w:bCs/>
          <w:color w:val="002060"/>
          <w:sz w:val="24"/>
          <w:szCs w:val="24"/>
        </w:rPr>
        <w:t>:</w:t>
      </w:r>
    </w:p>
    <w:p w14:paraId="3E15A5C7" w14:textId="730F39B2" w:rsidR="00040B30" w:rsidRPr="00040B30" w:rsidRDefault="00040B30" w:rsidP="00040B30">
      <w:pPr>
        <w:rPr>
          <w:sz w:val="24"/>
          <w:szCs w:val="24"/>
        </w:rPr>
      </w:pPr>
      <w:r w:rsidRPr="00040B30">
        <w:rPr>
          <w:b/>
          <w:bCs/>
          <w:sz w:val="24"/>
          <w:szCs w:val="24"/>
        </w:rPr>
        <w:t>Positive Correlation</w:t>
      </w:r>
      <w:r w:rsidRPr="00040B30">
        <w:rPr>
          <w:sz w:val="24"/>
          <w:szCs w:val="24"/>
        </w:rPr>
        <w:t>:</w:t>
      </w:r>
      <w:r>
        <w:rPr>
          <w:sz w:val="24"/>
          <w:szCs w:val="24"/>
        </w:rPr>
        <w:t xml:space="preserve"> </w:t>
      </w:r>
    </w:p>
    <w:p w14:paraId="5F858EF8" w14:textId="77777777" w:rsidR="00040B30" w:rsidRPr="00040B30" w:rsidRDefault="00040B30" w:rsidP="00040B30">
      <w:pPr>
        <w:numPr>
          <w:ilvl w:val="0"/>
          <w:numId w:val="8"/>
        </w:numPr>
        <w:rPr>
          <w:sz w:val="24"/>
          <w:szCs w:val="24"/>
        </w:rPr>
      </w:pPr>
      <w:r w:rsidRPr="00040B30">
        <w:rPr>
          <w:sz w:val="24"/>
          <w:szCs w:val="24"/>
        </w:rPr>
        <w:t xml:space="preserve">A </w:t>
      </w:r>
      <w:r w:rsidRPr="00040B30">
        <w:rPr>
          <w:b/>
          <w:bCs/>
          <w:sz w:val="24"/>
          <w:szCs w:val="24"/>
        </w:rPr>
        <w:t>correlation of 0.84</w:t>
      </w:r>
      <w:r w:rsidRPr="00040B30">
        <w:rPr>
          <w:sz w:val="24"/>
          <w:szCs w:val="24"/>
        </w:rPr>
        <w:t xml:space="preserve"> indicates a strong positive relationship between the two variables. This means that, generally, as </w:t>
      </w:r>
      <w:r w:rsidRPr="00040B30">
        <w:rPr>
          <w:b/>
          <w:bCs/>
          <w:sz w:val="24"/>
          <w:szCs w:val="24"/>
        </w:rPr>
        <w:t>mouse weight</w:t>
      </w:r>
      <w:r w:rsidRPr="00040B30">
        <w:rPr>
          <w:sz w:val="24"/>
          <w:szCs w:val="24"/>
        </w:rPr>
        <w:t xml:space="preserve"> increases, the </w:t>
      </w:r>
      <w:r w:rsidRPr="00040B30">
        <w:rPr>
          <w:b/>
          <w:bCs/>
          <w:sz w:val="24"/>
          <w:szCs w:val="24"/>
        </w:rPr>
        <w:t>average tumor volume</w:t>
      </w:r>
      <w:r w:rsidRPr="00040B30">
        <w:rPr>
          <w:sz w:val="24"/>
          <w:szCs w:val="24"/>
        </w:rPr>
        <w:t xml:space="preserve"> also tends to increase.</w:t>
      </w:r>
    </w:p>
    <w:p w14:paraId="34B5B11E" w14:textId="77777777" w:rsidR="00040B30" w:rsidRDefault="00040B30" w:rsidP="00040B30">
      <w:pPr>
        <w:rPr>
          <w:sz w:val="24"/>
          <w:szCs w:val="24"/>
        </w:rPr>
      </w:pPr>
      <w:r w:rsidRPr="00040B30">
        <w:rPr>
          <w:sz w:val="24"/>
          <w:szCs w:val="24"/>
        </w:rPr>
        <w:drawing>
          <wp:anchor distT="0" distB="0" distL="114300" distR="114300" simplePos="0" relativeHeight="251658240" behindDoc="0" locked="0" layoutInCell="1" allowOverlap="1" wp14:anchorId="3B03A631" wp14:editId="58527841">
            <wp:simplePos x="2180492" y="6418385"/>
            <wp:positionH relativeFrom="column">
              <wp:posOffset>2180492</wp:posOffset>
            </wp:positionH>
            <wp:positionV relativeFrom="paragraph">
              <wp:align>top</wp:align>
            </wp:positionV>
            <wp:extent cx="3410585" cy="2206625"/>
            <wp:effectExtent l="0" t="0" r="0" b="3175"/>
            <wp:wrapSquare wrapText="bothSides"/>
            <wp:docPr id="21053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5128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5179" cy="2209841"/>
                    </a:xfrm>
                    <a:prstGeom prst="rect">
                      <a:avLst/>
                    </a:prstGeom>
                  </pic:spPr>
                </pic:pic>
              </a:graphicData>
            </a:graphic>
            <wp14:sizeRelV relativeFrom="margin">
              <wp14:pctHeight>0</wp14:pctHeight>
            </wp14:sizeRelV>
          </wp:anchor>
        </w:drawing>
      </w:r>
      <w:r>
        <w:rPr>
          <w:sz w:val="24"/>
          <w:szCs w:val="24"/>
        </w:rPr>
        <w:br w:type="textWrapping" w:clear="all"/>
      </w:r>
    </w:p>
    <w:p w14:paraId="56CF2731" w14:textId="4F0ED3F8" w:rsidR="001B1A76" w:rsidRPr="00EF7896" w:rsidRDefault="00040B30" w:rsidP="00040B30">
      <w:pPr>
        <w:rPr>
          <w:sz w:val="24"/>
          <w:szCs w:val="24"/>
        </w:rPr>
      </w:pPr>
      <w:r>
        <w:rPr>
          <w:sz w:val="24"/>
          <w:szCs w:val="24"/>
        </w:rPr>
        <w:t xml:space="preserve">        </w:t>
      </w:r>
      <w:r w:rsidRPr="00040B30">
        <w:rPr>
          <w:sz w:val="24"/>
          <w:szCs w:val="24"/>
        </w:rPr>
        <w:t xml:space="preserve">The linear regression model and the scatter plot help confirm the </w:t>
      </w:r>
      <w:r w:rsidRPr="00040B30">
        <w:rPr>
          <w:b/>
          <w:bCs/>
          <w:sz w:val="24"/>
          <w:szCs w:val="24"/>
        </w:rPr>
        <w:t>strong positive relationship</w:t>
      </w:r>
      <w:r w:rsidRPr="00040B30">
        <w:rPr>
          <w:sz w:val="24"/>
          <w:szCs w:val="24"/>
        </w:rPr>
        <w:t xml:space="preserve"> between mouse weight and tumor volume in the </w:t>
      </w:r>
      <w:r w:rsidRPr="00040B30">
        <w:rPr>
          <w:b/>
          <w:bCs/>
          <w:sz w:val="24"/>
          <w:szCs w:val="24"/>
        </w:rPr>
        <w:t>Capomulin</w:t>
      </w:r>
      <w:r w:rsidRPr="00040B30">
        <w:rPr>
          <w:sz w:val="24"/>
          <w:szCs w:val="24"/>
        </w:rPr>
        <w:t xml:space="preserve"> treatment group. Larger mice tend to have larger tumors, as expected from the correlation analysis.</w:t>
      </w:r>
    </w:p>
    <w:sectPr w:rsidR="001B1A76" w:rsidRPr="00EF7896" w:rsidSect="00EF7896">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87A3E" w14:textId="77777777" w:rsidR="0070574C" w:rsidRDefault="0070574C" w:rsidP="0046199C">
      <w:pPr>
        <w:spacing w:after="0" w:line="240" w:lineRule="auto"/>
      </w:pPr>
      <w:r>
        <w:separator/>
      </w:r>
    </w:p>
  </w:endnote>
  <w:endnote w:type="continuationSeparator" w:id="0">
    <w:p w14:paraId="4D0D90DC" w14:textId="77777777" w:rsidR="0070574C" w:rsidRDefault="0070574C" w:rsidP="0046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813840"/>
      <w:docPartObj>
        <w:docPartGallery w:val="Page Numbers (Bottom of Page)"/>
        <w:docPartUnique/>
      </w:docPartObj>
    </w:sdtPr>
    <w:sdtEndPr>
      <w:rPr>
        <w:color w:val="7F7F7F" w:themeColor="background1" w:themeShade="7F"/>
        <w:spacing w:val="60"/>
      </w:rPr>
    </w:sdtEndPr>
    <w:sdtContent>
      <w:p w14:paraId="3C4E0A38" w14:textId="5CC66C2D" w:rsidR="0046199C" w:rsidRDefault="004619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C21FCC" w14:textId="77777777" w:rsidR="0046199C" w:rsidRDefault="00461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089DD" w14:textId="77777777" w:rsidR="0070574C" w:rsidRDefault="0070574C" w:rsidP="0046199C">
      <w:pPr>
        <w:spacing w:after="0" w:line="240" w:lineRule="auto"/>
      </w:pPr>
      <w:r>
        <w:separator/>
      </w:r>
    </w:p>
  </w:footnote>
  <w:footnote w:type="continuationSeparator" w:id="0">
    <w:p w14:paraId="1BC36997" w14:textId="77777777" w:rsidR="0070574C" w:rsidRDefault="0070574C" w:rsidP="00461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14D8D"/>
    <w:multiLevelType w:val="multilevel"/>
    <w:tmpl w:val="A5066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36F14"/>
    <w:multiLevelType w:val="multilevel"/>
    <w:tmpl w:val="416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2110A"/>
    <w:multiLevelType w:val="multilevel"/>
    <w:tmpl w:val="AC6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B11C3"/>
    <w:multiLevelType w:val="hybridMultilevel"/>
    <w:tmpl w:val="19A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C3BB3"/>
    <w:multiLevelType w:val="multilevel"/>
    <w:tmpl w:val="4A3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9606E"/>
    <w:multiLevelType w:val="multilevel"/>
    <w:tmpl w:val="4A3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C063C"/>
    <w:multiLevelType w:val="multilevel"/>
    <w:tmpl w:val="D6F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35593"/>
    <w:multiLevelType w:val="multilevel"/>
    <w:tmpl w:val="81E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628754">
    <w:abstractNumId w:val="1"/>
  </w:num>
  <w:num w:numId="2" w16cid:durableId="368796590">
    <w:abstractNumId w:val="2"/>
  </w:num>
  <w:num w:numId="3" w16cid:durableId="1661351051">
    <w:abstractNumId w:val="6"/>
  </w:num>
  <w:num w:numId="4" w16cid:durableId="1339887611">
    <w:abstractNumId w:val="7"/>
  </w:num>
  <w:num w:numId="5" w16cid:durableId="483862981">
    <w:abstractNumId w:val="3"/>
  </w:num>
  <w:num w:numId="6" w16cid:durableId="1177382390">
    <w:abstractNumId w:val="0"/>
  </w:num>
  <w:num w:numId="7" w16cid:durableId="467360627">
    <w:abstractNumId w:val="5"/>
  </w:num>
  <w:num w:numId="8" w16cid:durableId="1892962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96"/>
    <w:rsid w:val="00040B30"/>
    <w:rsid w:val="001B1A76"/>
    <w:rsid w:val="00330FC5"/>
    <w:rsid w:val="0037045C"/>
    <w:rsid w:val="0046199C"/>
    <w:rsid w:val="0070574C"/>
    <w:rsid w:val="008D26A1"/>
    <w:rsid w:val="00AA4BF4"/>
    <w:rsid w:val="00B770BC"/>
    <w:rsid w:val="00BB6897"/>
    <w:rsid w:val="00C02915"/>
    <w:rsid w:val="00D43C7D"/>
    <w:rsid w:val="00E728EF"/>
    <w:rsid w:val="00E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FD12"/>
  <w15:chartTrackingRefBased/>
  <w15:docId w15:val="{EDD9F114-25F9-407E-A1EE-3DF7DD75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3C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1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28EF"/>
    <w:pPr>
      <w:ind w:left="720"/>
      <w:contextualSpacing/>
    </w:pPr>
  </w:style>
  <w:style w:type="character" w:customStyle="1" w:styleId="Heading2Char">
    <w:name w:val="Heading 2 Char"/>
    <w:basedOn w:val="DefaultParagraphFont"/>
    <w:link w:val="Heading2"/>
    <w:uiPriority w:val="9"/>
    <w:rsid w:val="00D43C7D"/>
    <w:rPr>
      <w:rFonts w:ascii="Times New Roman" w:eastAsia="Times New Roman" w:hAnsi="Times New Roman" w:cs="Times New Roman"/>
      <w:b/>
      <w:bCs/>
      <w:kern w:val="0"/>
      <w:sz w:val="36"/>
      <w:szCs w:val="36"/>
      <w14:ligatures w14:val="none"/>
    </w:rPr>
  </w:style>
  <w:style w:type="paragraph" w:styleId="Header">
    <w:name w:val="header"/>
    <w:basedOn w:val="Normal"/>
    <w:link w:val="HeaderChar"/>
    <w:uiPriority w:val="99"/>
    <w:unhideWhenUsed/>
    <w:rsid w:val="0046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9C"/>
  </w:style>
  <w:style w:type="paragraph" w:styleId="Footer">
    <w:name w:val="footer"/>
    <w:basedOn w:val="Normal"/>
    <w:link w:val="FooterChar"/>
    <w:uiPriority w:val="99"/>
    <w:unhideWhenUsed/>
    <w:rsid w:val="0046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4140">
      <w:bodyDiv w:val="1"/>
      <w:marLeft w:val="0"/>
      <w:marRight w:val="0"/>
      <w:marTop w:val="0"/>
      <w:marBottom w:val="0"/>
      <w:divBdr>
        <w:top w:val="none" w:sz="0" w:space="0" w:color="auto"/>
        <w:left w:val="none" w:sz="0" w:space="0" w:color="auto"/>
        <w:bottom w:val="none" w:sz="0" w:space="0" w:color="auto"/>
        <w:right w:val="none" w:sz="0" w:space="0" w:color="auto"/>
      </w:divBdr>
    </w:div>
    <w:div w:id="258760217">
      <w:bodyDiv w:val="1"/>
      <w:marLeft w:val="0"/>
      <w:marRight w:val="0"/>
      <w:marTop w:val="0"/>
      <w:marBottom w:val="0"/>
      <w:divBdr>
        <w:top w:val="none" w:sz="0" w:space="0" w:color="auto"/>
        <w:left w:val="none" w:sz="0" w:space="0" w:color="auto"/>
        <w:bottom w:val="none" w:sz="0" w:space="0" w:color="auto"/>
        <w:right w:val="none" w:sz="0" w:space="0" w:color="auto"/>
      </w:divBdr>
    </w:div>
    <w:div w:id="318390781">
      <w:bodyDiv w:val="1"/>
      <w:marLeft w:val="0"/>
      <w:marRight w:val="0"/>
      <w:marTop w:val="0"/>
      <w:marBottom w:val="0"/>
      <w:divBdr>
        <w:top w:val="none" w:sz="0" w:space="0" w:color="auto"/>
        <w:left w:val="none" w:sz="0" w:space="0" w:color="auto"/>
        <w:bottom w:val="none" w:sz="0" w:space="0" w:color="auto"/>
        <w:right w:val="none" w:sz="0" w:space="0" w:color="auto"/>
      </w:divBdr>
    </w:div>
    <w:div w:id="525212506">
      <w:bodyDiv w:val="1"/>
      <w:marLeft w:val="0"/>
      <w:marRight w:val="0"/>
      <w:marTop w:val="0"/>
      <w:marBottom w:val="0"/>
      <w:divBdr>
        <w:top w:val="none" w:sz="0" w:space="0" w:color="auto"/>
        <w:left w:val="none" w:sz="0" w:space="0" w:color="auto"/>
        <w:bottom w:val="none" w:sz="0" w:space="0" w:color="auto"/>
        <w:right w:val="none" w:sz="0" w:space="0" w:color="auto"/>
      </w:divBdr>
    </w:div>
    <w:div w:id="658968845">
      <w:bodyDiv w:val="1"/>
      <w:marLeft w:val="0"/>
      <w:marRight w:val="0"/>
      <w:marTop w:val="0"/>
      <w:marBottom w:val="0"/>
      <w:divBdr>
        <w:top w:val="none" w:sz="0" w:space="0" w:color="auto"/>
        <w:left w:val="none" w:sz="0" w:space="0" w:color="auto"/>
        <w:bottom w:val="none" w:sz="0" w:space="0" w:color="auto"/>
        <w:right w:val="none" w:sz="0" w:space="0" w:color="auto"/>
      </w:divBdr>
    </w:div>
    <w:div w:id="1050617432">
      <w:bodyDiv w:val="1"/>
      <w:marLeft w:val="0"/>
      <w:marRight w:val="0"/>
      <w:marTop w:val="0"/>
      <w:marBottom w:val="0"/>
      <w:divBdr>
        <w:top w:val="none" w:sz="0" w:space="0" w:color="auto"/>
        <w:left w:val="none" w:sz="0" w:space="0" w:color="auto"/>
        <w:bottom w:val="none" w:sz="0" w:space="0" w:color="auto"/>
        <w:right w:val="none" w:sz="0" w:space="0" w:color="auto"/>
      </w:divBdr>
    </w:div>
    <w:div w:id="1192764972">
      <w:bodyDiv w:val="1"/>
      <w:marLeft w:val="0"/>
      <w:marRight w:val="0"/>
      <w:marTop w:val="0"/>
      <w:marBottom w:val="0"/>
      <w:divBdr>
        <w:top w:val="none" w:sz="0" w:space="0" w:color="auto"/>
        <w:left w:val="none" w:sz="0" w:space="0" w:color="auto"/>
        <w:bottom w:val="none" w:sz="0" w:space="0" w:color="auto"/>
        <w:right w:val="none" w:sz="0" w:space="0" w:color="auto"/>
      </w:divBdr>
    </w:div>
    <w:div w:id="1513766582">
      <w:bodyDiv w:val="1"/>
      <w:marLeft w:val="0"/>
      <w:marRight w:val="0"/>
      <w:marTop w:val="0"/>
      <w:marBottom w:val="0"/>
      <w:divBdr>
        <w:top w:val="none" w:sz="0" w:space="0" w:color="auto"/>
        <w:left w:val="none" w:sz="0" w:space="0" w:color="auto"/>
        <w:bottom w:val="none" w:sz="0" w:space="0" w:color="auto"/>
        <w:right w:val="none" w:sz="0" w:space="0" w:color="auto"/>
      </w:divBdr>
    </w:div>
    <w:div w:id="1515193160">
      <w:bodyDiv w:val="1"/>
      <w:marLeft w:val="0"/>
      <w:marRight w:val="0"/>
      <w:marTop w:val="0"/>
      <w:marBottom w:val="0"/>
      <w:divBdr>
        <w:top w:val="none" w:sz="0" w:space="0" w:color="auto"/>
        <w:left w:val="none" w:sz="0" w:space="0" w:color="auto"/>
        <w:bottom w:val="none" w:sz="0" w:space="0" w:color="auto"/>
        <w:right w:val="none" w:sz="0" w:space="0" w:color="auto"/>
      </w:divBdr>
    </w:div>
    <w:div w:id="1557275526">
      <w:bodyDiv w:val="1"/>
      <w:marLeft w:val="0"/>
      <w:marRight w:val="0"/>
      <w:marTop w:val="0"/>
      <w:marBottom w:val="0"/>
      <w:divBdr>
        <w:top w:val="none" w:sz="0" w:space="0" w:color="auto"/>
        <w:left w:val="none" w:sz="0" w:space="0" w:color="auto"/>
        <w:bottom w:val="none" w:sz="0" w:space="0" w:color="auto"/>
        <w:right w:val="none" w:sz="0" w:space="0" w:color="auto"/>
      </w:divBdr>
    </w:div>
    <w:div w:id="1731728082">
      <w:bodyDiv w:val="1"/>
      <w:marLeft w:val="0"/>
      <w:marRight w:val="0"/>
      <w:marTop w:val="0"/>
      <w:marBottom w:val="0"/>
      <w:divBdr>
        <w:top w:val="none" w:sz="0" w:space="0" w:color="auto"/>
        <w:left w:val="none" w:sz="0" w:space="0" w:color="auto"/>
        <w:bottom w:val="none" w:sz="0" w:space="0" w:color="auto"/>
        <w:right w:val="none" w:sz="0" w:space="0" w:color="auto"/>
      </w:divBdr>
    </w:div>
    <w:div w:id="1863855865">
      <w:bodyDiv w:val="1"/>
      <w:marLeft w:val="0"/>
      <w:marRight w:val="0"/>
      <w:marTop w:val="0"/>
      <w:marBottom w:val="0"/>
      <w:divBdr>
        <w:top w:val="none" w:sz="0" w:space="0" w:color="auto"/>
        <w:left w:val="none" w:sz="0" w:space="0" w:color="auto"/>
        <w:bottom w:val="none" w:sz="0" w:space="0" w:color="auto"/>
        <w:right w:val="none" w:sz="0" w:space="0" w:color="auto"/>
      </w:divBdr>
    </w:div>
    <w:div w:id="2084329392">
      <w:bodyDiv w:val="1"/>
      <w:marLeft w:val="0"/>
      <w:marRight w:val="0"/>
      <w:marTop w:val="0"/>
      <w:marBottom w:val="0"/>
      <w:divBdr>
        <w:top w:val="none" w:sz="0" w:space="0" w:color="auto"/>
        <w:left w:val="none" w:sz="0" w:space="0" w:color="auto"/>
        <w:bottom w:val="none" w:sz="0" w:space="0" w:color="auto"/>
        <w:right w:val="none" w:sz="0" w:space="0" w:color="auto"/>
      </w:divBdr>
    </w:div>
    <w:div w:id="20859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4A6A-EFF0-45FA-A4EE-30965B55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kaouther Abid</dc:creator>
  <cp:keywords/>
  <dc:description/>
  <cp:lastModifiedBy>kaouther Abid</cp:lastModifiedBy>
  <cp:revision>2</cp:revision>
  <dcterms:created xsi:type="dcterms:W3CDTF">2024-11-18T00:10:00Z</dcterms:created>
  <dcterms:modified xsi:type="dcterms:W3CDTF">2024-11-18T01:29:00Z</dcterms:modified>
</cp:coreProperties>
</file>