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 w:eastAsia="Georgia"/>
          <w:b/>
          <w:i w:val="0"/>
          <w:color w:val="064A45"/>
          <w:sz w:val="40"/>
        </w:rPr>
        <w:t>Relatório de conformidade</w:t>
      </w:r>
    </w:p>
    <w:p>
      <w:pPr>
        <w:spacing w:after="200"/>
        <w:pBdr>
          <w:bottom w:val="single" w:sz="8" w:space="8" w:color="B87548"/>
        </w:pBdr>
      </w:pPr>
      <w:r>
        <w:rPr>
          <w:rFonts w:ascii="Georgia" w:hAnsi="Georgia" w:eastAsia="Georgia"/>
          <w:b w:val="0"/>
          <w:i/>
          <w:color w:val="666666"/>
          <w:sz w:val="22"/>
        </w:rPr>
        <w:t>Temas 6 e 1234 do STF · fornecimento de medicamento X (caso fictício)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Processo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0000000-00.2025.8.12.0000 (fictício)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Autor representado por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Advogado particular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Data da análise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23/10/2026</w:t>
            </w:r>
          </w:p>
        </w:tc>
      </w:tr>
    </w:tbl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Conclusão</w:t>
      </w:r>
    </w:p>
    <w:p>
      <w:pPr>
        <w:spacing w:after="80"/>
      </w:pPr>
      <w:r>
        <w:rPr>
          <w:rFonts w:ascii="Georgia" w:hAnsi="Georgia" w:eastAsia="Georgia"/>
          <w:b/>
          <w:i w:val="0"/>
          <w:sz w:val="22"/>
        </w:rPr>
        <w:t xml:space="preserve">O autor não cumpriu todos os requisitos do Tema 6. </w:t>
      </w:r>
      <w:r>
        <w:rPr>
          <w:rFonts w:ascii="Georgia" w:hAnsi="Georgia" w:eastAsia="Georgia"/>
          <w:b w:val="0"/>
          <w:i w:val="0"/>
          <w:sz w:val="22"/>
        </w:rPr>
        <w:t xml:space="preserve">Estão atendidos ou dispensados 2 de 6. </w:t>
      </w:r>
      <w:r>
        <w:rPr>
          <w:rFonts w:ascii="Georgia" w:hAnsi="Georgia" w:eastAsia="Georgia"/>
          <w:b w:val="0"/>
          <w:i w:val="0"/>
          <w:sz w:val="22"/>
        </w:rPr>
        <w:t>Faltam a prova da negativa administrativa e a prova da incapacidade financeira. O laudo cita estudos, mas não ensaio clínico randomizado.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6: requisitos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Requisito</w:t>
            </w:r>
          </w:p>
        </w:tc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Situação</w:t>
            </w:r>
          </w:p>
        </w:tc>
        <w:tc>
          <w:tcPr>
            <w:tcW w:type="dxa" w:w="1644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Onde nos autos</w:t>
            </w:r>
          </w:p>
        </w:tc>
        <w:tc>
          <w:tcPr>
            <w:tcW w:type="dxa" w:w="3345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Observação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(a) Negativa na via administrativa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Inicial, p. 3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autor alega a negativa, mas não juntou ofício, protocolo nem resposta.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(b) Ilegalidade da não incorporação pela Conitec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não trata da Conitec nem dos prazos dos arts. 19-Q e 19-R.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(c) Impossibilidade de substituição por medicamento do SUS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Laudo, p. 1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médico explica por que as alternativas do SUS não servem.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(d) Evidência de alto nível (ensaio randomizado ou revisão sistemática)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Laudo, p. 2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Cita um estudo observacional, que não basta pela tese.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(e) Imprescindibilidade clínica, com laudo fundamentado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Laudo, p. 1 e 2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Descreve os tratamentos já realizados.</w:t>
            </w:r>
          </w:p>
        </w:tc>
      </w:tr>
      <w:tr>
        <w:tc>
          <w:tcPr>
            <w:tcW w:type="dxa" w:w="260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(f) Incapacidade financeira</w:t>
            </w:r>
          </w:p>
        </w:tc>
        <w:tc>
          <w:tcPr>
            <w:tcW w:type="dxa" w:w="175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644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</w:t>
            </w:r>
          </w:p>
        </w:tc>
        <w:tc>
          <w:tcPr>
            <w:tcW w:type="dxa" w:w="3345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Advogado particular e sem comprovante de renda nos autos.</w:t>
            </w:r>
          </w:p>
        </w:tc>
      </w:tr>
    </w:tbl>
    <w:p>
      <w:pPr>
        <w:spacing w:before="80"/>
      </w:pPr>
      <w:r>
        <w:rPr>
          <w:rFonts w:ascii="Georgia" w:hAnsi="Georgia" w:eastAsia="Georgia"/>
          <w:b w:val="0"/>
          <w:i w:val="0"/>
          <w:color w:val="2E7D5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Atendido    </w:t>
      </w:r>
      <w:r>
        <w:rPr>
          <w:rFonts w:ascii="Georgia" w:hAnsi="Georgia" w:eastAsia="Georgia"/>
          <w:b w:val="0"/>
          <w:i w:val="0"/>
          <w:color w:val="C98A0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Alegado, não comprovado    </w:t>
      </w:r>
      <w:r>
        <w:rPr>
          <w:rFonts w:ascii="Georgia" w:hAnsi="Georgia" w:eastAsia="Georgia"/>
          <w:b w:val="0"/>
          <w:i w:val="0"/>
          <w:color w:val="B3402F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Não encontrei nos autos    </w:t>
      </w:r>
      <w:r>
        <w:rPr>
          <w:rFonts w:ascii="Georgia" w:hAnsi="Georgia" w:eastAsia="Georgia"/>
          <w:b w:val="0"/>
          <w:i w:val="0"/>
          <w:color w:val="5F7390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Dispensado    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1234: competência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Valor anual do tratamento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R$ 148.320,00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210 salários mínimos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R$ 340.410,00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Onde tramita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Justiça Estadual</w:t>
            </w:r>
          </w:p>
        </w:tc>
      </w:tr>
    </w:tbl>
    <w:p>
      <w:pPr>
        <w:spacing w:before="120"/>
      </w:pPr>
      <w:r>
        <w:rPr>
          <w:rFonts w:ascii="Georgia" w:hAnsi="Georgia" w:eastAsia="Georgia"/>
          <w:b w:val="0"/>
          <w:i/>
          <w:color w:val="666666"/>
          <w:sz w:val="18"/>
        </w:rPr>
        <w:t>Valores ilustrativos deste caso fictício. Na prática, use o PMVG (alíquota zero) da lista CMED e o salário mínimo vigente.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Pontos para conferência humana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nos autos se há ofício ou protocolo de pedido administrativo que não tenha sido anexado à inicial.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a lista da Conitec e as listas RENAME, RESME e REMUME na data da análise.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o valor anual do tratamento na lista CMED e o salário mínimo vigente.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Este relatório organiza a leitura; a decisão sobre a defesa é do procurador.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76" w:bottom="124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Georgia" w:hAnsi="Georgia" w:eastAsia="Georgia"/>
        <w:b w:val="0"/>
        <w:i w:val="0"/>
        <w:color w:val="666666"/>
        <w:sz w:val="17"/>
      </w:rPr>
      <w:t>Dias &amp; Moura Advocacia · documento fictício</w:t>
      <w:tab/>
      <w:tab/>
      <w:t xml:space="preserve">Página </w:t>
    </w:r>
    <w:r>
      <w:rPr>
        <w:rFonts w:ascii="Georgia" w:hAnsi="Georgia" w:eastAsia="Georgia"/>
        <w:b w:val="0"/>
        <w:i w:val="0"/>
        <w:color w:val="666666"/>
        <w:sz w:val="17"/>
      </w:rPr>
      <w:fldChar w:fldCharType="begin"/>
    </w:r>
    <w:r>
      <w:rPr>
        <w:rFonts w:ascii="Georgia" w:hAnsi="Georgia" w:eastAsia="Georgia"/>
        <w:b w:val="0"/>
        <w:i w:val="0"/>
        <w:color w:val="666666"/>
        <w:sz w:val="17"/>
      </w:rPr>
      <w:instrText xml:space="preserve">PAGE</w:instrText>
    </w:r>
    <w:r>
      <w:rPr>
        <w:rFonts w:ascii="Georgia" w:hAnsi="Georgia" w:eastAsia="Georgia"/>
        <w:b w:val="0"/>
        <w:i w:val="0"/>
        <w:color w:val="6666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pBdr>
        <w:bottom w:val="single" w:sz="6" w:space="6" w:color="B87548"/>
      </w:pBdr>
    </w:pPr>
    <w:r>
      <w:drawing>
        <wp:inline xmlns:a="http://schemas.openxmlformats.org/drawingml/2006/main" xmlns:pic="http://schemas.openxmlformats.org/drawingml/2006/picture">
          <wp:extent cx="17784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scritori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84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Georgia" w:hAnsi="Georgia" w:eastAsia="Georgia"/>
        <w:b w:val="0"/>
        <w:i w:val="0"/>
        <w:color w:val="666666"/>
        <w:sz w:val="18"/>
      </w:rPr>
      <w:tab/>
      <w:tab/>
      <w:t>Documento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