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40"/>
      </w:pPr>
      <w:r>
        <w:rPr>
          <w:rFonts w:ascii="Georgia" w:hAnsi="Georgia" w:eastAsia="Georgia"/>
          <w:b/>
          <w:i w:val="0"/>
          <w:color w:val="064A45"/>
          <w:sz w:val="40"/>
        </w:rPr>
        <w:t>Relatório de conformidade</w:t>
      </w:r>
    </w:p>
    <w:p>
      <w:pPr>
        <w:spacing w:after="200"/>
        <w:pBdr>
          <w:bottom w:val="single" w:sz="8" w:space="8" w:color="B87548"/>
        </w:pBdr>
      </w:pPr>
      <w:r>
        <w:rPr>
          <w:rFonts w:ascii="Georgia" w:hAnsi="Georgia" w:eastAsia="Georgia"/>
          <w:b w:val="0"/>
          <w:i/>
          <w:color w:val="666666"/>
          <w:sz w:val="22"/>
        </w:rPr>
        <w:t>Temas 6 e 1234 do STF · Austedo (deutetrabenazina) 6 mg, 9 mg e 12 mg, uso contínuo, para coreia na Doença de Huntington</w:t>
      </w:r>
    </w:p>
    <w:tbl>
      <w:tblPr>
        <w:tblLook w:firstColumn="1" w:firstRow="1" w:lastColumn="0" w:lastRow="0" w:noHBand="0" w:noVBand="1" w:val="04A0"/>
        <w:tblW w:w="9355" w:type="dxa"/>
        <w:tblLayout w:type="fixed"/>
      </w:tblPr>
      <w:tblGrid>
        <w:gridCol w:w="4677"/>
        <w:gridCol w:w="4677"/>
      </w:tblGrid>
      <w:tr>
        <w:tc>
          <w:tcPr>
            <w:tcW w:type="dxa" w:w="2835"/>
            <w:tcMar>
              <w:top w:w="50" w:type="dxa"/>
              <w:start w:w="0" w:type="dxa"/>
              <w:bottom w:w="50" w:type="dxa"/>
              <w:end w:w="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color w:val="666666"/>
                <w:sz w:val="20"/>
              </w:rPr>
              <w:t>Processo</w:t>
            </w:r>
          </w:p>
        </w:tc>
        <w:tc>
          <w:tcPr>
            <w:tcW w:type="dxa" w:w="6520"/>
            <w:tcMar>
              <w:top w:w="50" w:type="dxa"/>
              <w:start w:w="0" w:type="dxa"/>
              <w:bottom w:w="50" w:type="dxa"/>
              <w:end w:w="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/>
                <w:i w:val="0"/>
                <w:sz w:val="21"/>
              </w:rPr>
              <w:t>0805173-90.2025.8.12.0099 (fictício)</w:t>
            </w:r>
          </w:p>
        </w:tc>
      </w:tr>
      <w:tr>
        <w:tc>
          <w:tcPr>
            <w:tcW w:type="dxa" w:w="2835"/>
            <w:tcMar>
              <w:top w:w="50" w:type="dxa"/>
              <w:start w:w="0" w:type="dxa"/>
              <w:bottom w:w="50" w:type="dxa"/>
              <w:end w:w="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color w:val="666666"/>
                <w:sz w:val="20"/>
              </w:rPr>
              <w:t>Autor representado por</w:t>
            </w:r>
          </w:p>
        </w:tc>
        <w:tc>
          <w:tcPr>
            <w:tcW w:type="dxa" w:w="6520"/>
            <w:tcMar>
              <w:top w:w="50" w:type="dxa"/>
              <w:start w:w="0" w:type="dxa"/>
              <w:bottom w:w="50" w:type="dxa"/>
              <w:end w:w="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/>
                <w:i w:val="0"/>
                <w:sz w:val="21"/>
              </w:rPr>
              <w:t>Defensoria Pública</w:t>
            </w:r>
          </w:p>
        </w:tc>
      </w:tr>
      <w:tr>
        <w:tc>
          <w:tcPr>
            <w:tcW w:type="dxa" w:w="2835"/>
            <w:tcMar>
              <w:top w:w="50" w:type="dxa"/>
              <w:start w:w="0" w:type="dxa"/>
              <w:bottom w:w="50" w:type="dxa"/>
              <w:end w:w="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color w:val="666666"/>
                <w:sz w:val="20"/>
              </w:rPr>
              <w:t>Data da análise</w:t>
            </w:r>
          </w:p>
        </w:tc>
        <w:tc>
          <w:tcPr>
            <w:tcW w:type="dxa" w:w="6520"/>
            <w:tcMar>
              <w:top w:w="50" w:type="dxa"/>
              <w:start w:w="0" w:type="dxa"/>
              <w:bottom w:w="50" w:type="dxa"/>
              <w:end w:w="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/>
                <w:i w:val="0"/>
                <w:sz w:val="21"/>
              </w:rPr>
              <w:t>24/10/2026</w:t>
            </w:r>
          </w:p>
        </w:tc>
      </w:tr>
    </w:tbl>
    <w:p>
      <w:pPr>
        <w:spacing w:before="360" w:after="120"/>
      </w:pPr>
      <w:r>
        <w:rPr>
          <w:rFonts w:ascii="Georgia" w:hAnsi="Georgia" w:eastAsia="Georgia"/>
          <w:b/>
          <w:i w:val="0"/>
          <w:color w:val="064A45"/>
          <w:sz w:val="24"/>
        </w:rPr>
        <w:t>Conclusão</w:t>
      </w:r>
    </w:p>
    <w:p>
      <w:pPr>
        <w:spacing w:after="80"/>
      </w:pPr>
      <w:r>
        <w:rPr>
          <w:rFonts w:ascii="Georgia" w:hAnsi="Georgia" w:eastAsia="Georgia"/>
          <w:b/>
          <w:i w:val="0"/>
          <w:sz w:val="22"/>
        </w:rPr>
        <w:t xml:space="preserve">O autor não cumpriu todos os requisitos do Tema 6. </w:t>
      </w:r>
      <w:r>
        <w:rPr>
          <w:rFonts w:ascii="Georgia" w:hAnsi="Georgia" w:eastAsia="Georgia"/>
          <w:b w:val="0"/>
          <w:i w:val="0"/>
          <w:sz w:val="22"/>
        </w:rPr>
        <w:t xml:space="preserve">Estão atendidos ou dispensados 3 de 6. </w:t>
      </w:r>
      <w:r>
        <w:rPr>
          <w:rFonts w:ascii="Georgia" w:hAnsi="Georgia" w:eastAsia="Georgia"/>
          <w:b w:val="0"/>
          <w:i w:val="0"/>
          <w:sz w:val="22"/>
        </w:rPr>
        <w:t>A negativa administrativa está provada e a renda é dispensada pela Defensoria. Faltam os requisitos da Conitec (pedido de incorporação em análise e sem mora quando a tutela foi negada), da substituição (o NATJus aponta alternativas da RENAME e o questionário diz que elas não foram usadas) e da evidência de alto nível (o laudo só nomeia dois ensaios randomizados, sem juntá-los). O custo anual estimado nos autos passa de 210 salários mínimos, e o juízo estadual remeteu o caso à Justiça Federal.</w:t>
      </w:r>
    </w:p>
    <w:p>
      <w:pPr>
        <w:spacing w:before="360" w:after="120"/>
      </w:pPr>
      <w:r>
        <w:rPr>
          <w:rFonts w:ascii="Georgia" w:hAnsi="Georgia" w:eastAsia="Georgia"/>
          <w:b/>
          <w:i w:val="0"/>
          <w:color w:val="064A45"/>
          <w:sz w:val="24"/>
        </w:rPr>
        <w:t>Tema 6: requisitos</w:t>
      </w:r>
    </w:p>
    <w:tbl>
      <w:tblPr>
        <w:tblLook w:firstColumn="1" w:firstRow="1" w:lastColumn="0" w:lastRow="0" w:noHBand="0" w:noVBand="1" w:val="04A0"/>
        <w:tblW w:w="9355" w:type="dxa"/>
        <w:tblLayout w:type="fixed"/>
      </w:tblPr>
      <w:tblGrid>
        <w:gridCol w:w="2338"/>
        <w:gridCol w:w="2338"/>
        <w:gridCol w:w="2338"/>
        <w:gridCol w:w="2338"/>
      </w:tblGrid>
      <w:tr>
        <w:tc>
          <w:tcPr>
            <w:tcW w:type="dxa" w:w="2098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nil"/>
              <w:left w:val="nil"/>
              <w:bottom w:val="single" w:sz="10" w:color="064A45"/>
              <w:right w:val="nil"/>
            </w:tcBorders>
          </w:tcPr>
          <w:p>
            <w:r>
              <w:rPr>
                <w:rFonts w:ascii="Georgia" w:hAnsi="Georgia" w:eastAsia="Georgia"/>
                <w:b/>
                <w:i w:val="0"/>
                <w:color w:val="064A45"/>
                <w:sz w:val="18"/>
              </w:rPr>
              <w:t>Requisito</w:t>
            </w:r>
          </w:p>
        </w:tc>
        <w:tc>
          <w:tcPr>
            <w:tcW w:type="dxa" w:w="1587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nil"/>
              <w:left w:val="nil"/>
              <w:bottom w:val="single" w:sz="10" w:color="064A45"/>
              <w:right w:val="nil"/>
            </w:tcBorders>
          </w:tcPr>
          <w:p>
            <w:r>
              <w:rPr>
                <w:rFonts w:ascii="Georgia" w:hAnsi="Georgia" w:eastAsia="Georgia"/>
                <w:b/>
                <w:i w:val="0"/>
                <w:color w:val="064A45"/>
                <w:sz w:val="18"/>
              </w:rPr>
              <w:t>Situação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nil"/>
              <w:left w:val="nil"/>
              <w:bottom w:val="single" w:sz="10" w:color="064A45"/>
              <w:right w:val="nil"/>
            </w:tcBorders>
          </w:tcPr>
          <w:p>
            <w:r>
              <w:rPr>
                <w:rFonts w:ascii="Georgia" w:hAnsi="Georgia" w:eastAsia="Georgia"/>
                <w:b/>
                <w:i w:val="0"/>
                <w:color w:val="064A45"/>
                <w:sz w:val="18"/>
              </w:rPr>
              <w:t>Onde nos autos</w:t>
            </w:r>
          </w:p>
        </w:tc>
        <w:tc>
          <w:tcPr>
            <w:tcW w:type="dxa" w:w="3742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nil"/>
              <w:left w:val="nil"/>
              <w:bottom w:val="single" w:sz="10" w:color="064A45"/>
              <w:right w:val="nil"/>
            </w:tcBorders>
          </w:tcPr>
          <w:p>
            <w:r>
              <w:rPr>
                <w:rFonts w:ascii="Georgia" w:hAnsi="Georgia" w:eastAsia="Georgia"/>
                <w:b/>
                <w:i w:val="0"/>
                <w:color w:val="064A45"/>
                <w:sz w:val="18"/>
              </w:rPr>
              <w:t>Observação</w:t>
            </w:r>
          </w:p>
        </w:tc>
      </w:tr>
      <w:tr>
        <w:tc>
          <w:tcPr>
            <w:tcW w:type="dxa" w:w="209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(a) Negativa na via administrativa</w:t>
            </w:r>
          </w:p>
        </w:tc>
        <w:tc>
          <w:tcPr>
            <w:tcW w:type="dxa" w:w="1587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color w:val="2E7D5B"/>
                <w:sz w:val="19"/>
              </w:rPr>
              <w:t xml:space="preserve">● </w:t>
            </w:r>
            <w:r>
              <w:rPr>
                <w:rFonts w:ascii="Georgia" w:hAnsi="Georgia" w:eastAsia="Georgia"/>
                <w:b/>
                <w:i w:val="0"/>
                <w:color w:val="2E7D5B"/>
                <w:sz w:val="19"/>
              </w:rPr>
              <w:t>Atendido</w:t>
            </w:r>
          </w:p>
        </w:tc>
        <w:tc>
          <w:tcPr>
            <w:tcW w:type="dxa" w:w="192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04-negativa-administrativa.pdf, p. 1 e 3; 01-peticao-inicial.pdf, p. 1</w:t>
            </w:r>
          </w:p>
        </w:tc>
        <w:tc>
          <w:tcPr>
            <w:tcW w:type="dxa" w:w="3742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Há declaração escrita do Município negando o fornecimento e resposta da SES ao CEJUSC Saúde concluindo que não é possível fornecer. A resposta da SES traz o número da reclamação pré-processual, diferente do número da ação judicial.</w:t>
            </w:r>
          </w:p>
        </w:tc>
      </w:tr>
      <w:tr>
        <w:tc>
          <w:tcPr>
            <w:tcW w:type="dxa" w:w="209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(b) Ilegalidade da não incorporação pela Conitec</w:t>
            </w:r>
          </w:p>
        </w:tc>
        <w:tc>
          <w:tcPr>
            <w:tcW w:type="dxa" w:w="1587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color w:val="B3402F"/>
                <w:sz w:val="19"/>
              </w:rPr>
              <w:t xml:space="preserve">● </w:t>
            </w:r>
            <w:r>
              <w:rPr>
                <w:rFonts w:ascii="Georgia" w:hAnsi="Georgia" w:eastAsia="Georgia"/>
                <w:b/>
                <w:i w:val="0"/>
                <w:color w:val="B3402F"/>
                <w:sz w:val="19"/>
              </w:rPr>
              <w:t>Não encontrei nos autos</w:t>
            </w:r>
          </w:p>
        </w:tc>
        <w:tc>
          <w:tcPr>
            <w:tcW w:type="dxa" w:w="192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Não encontrei na inicial; ver 05-nota-tecnica-natjus.pdf, p. 1 (item VII) e 06-decisao-tutela.pdf, p. 1</w:t>
            </w:r>
          </w:p>
        </w:tc>
        <w:tc>
          <w:tcPr>
            <w:tcW w:type="dxa" w:w="3742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A inicial não trata da Conitec nem dos arts. 19-Q e 19-R. O NATJus e a decisão registram pedido de incorporação em análise, protocolado em 10/02/2025, e a decisão de 17/03/2025 afirma que não há mora. O NATJus diz no mesmo item que o fármaco não foi avaliado pela Conitec, o que convive mal com a avaliação em andamento.</w:t>
            </w:r>
          </w:p>
        </w:tc>
      </w:tr>
      <w:tr>
        <w:tc>
          <w:tcPr>
            <w:tcW w:type="dxa" w:w="209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(c) Impossibilidade de substituição por medicamento do SUS</w:t>
            </w:r>
          </w:p>
        </w:tc>
        <w:tc>
          <w:tcPr>
            <w:tcW w:type="dxa" w:w="1587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color w:val="C98A0B"/>
                <w:sz w:val="19"/>
              </w:rPr>
              <w:t xml:space="preserve">● </w:t>
            </w:r>
            <w:r>
              <w:rPr>
                <w:rFonts w:ascii="Georgia" w:hAnsi="Georgia" w:eastAsia="Georgia"/>
                <w:b/>
                <w:i w:val="0"/>
                <w:color w:val="C98A0B"/>
                <w:sz w:val="19"/>
              </w:rPr>
              <w:t>Alegado, não comprovado</w:t>
            </w:r>
          </w:p>
        </w:tc>
        <w:tc>
          <w:tcPr>
            <w:tcW w:type="dxa" w:w="192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03-questionario-receita-e-laudo.pdf, p. 1 e 3; 05-nota-tecnica-natjus.pdf, p. 2 (item IX)</w:t>
            </w:r>
          </w:p>
        </w:tc>
        <w:tc>
          <w:tcPr>
            <w:tcW w:type="dxa" w:w="3742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O laudo afirma que não há substituto de eficácia comprovada no SUS, mas o NATJus lista amantadina, clorpromazina, haloperidol, olanzapina, risperidona, clozapina e quetiapina na RENAME 2024. O questionário marca que as alternativas do SUS não foram usadas, enquanto o laudo relata haloperidol, que é da RENAME, e fala em antipsicóticos atípicos sem nomear nenhum.</w:t>
            </w:r>
          </w:p>
        </w:tc>
      </w:tr>
      <w:tr>
        <w:tc>
          <w:tcPr>
            <w:tcW w:type="dxa" w:w="209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(d) Evidência de alto nível (ensaio randomizado ou revisão sistemática)</w:t>
            </w:r>
          </w:p>
        </w:tc>
        <w:tc>
          <w:tcPr>
            <w:tcW w:type="dxa" w:w="1587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color w:val="C98A0B"/>
                <w:sz w:val="19"/>
              </w:rPr>
              <w:t xml:space="preserve">● </w:t>
            </w:r>
            <w:r>
              <w:rPr>
                <w:rFonts w:ascii="Georgia" w:hAnsi="Georgia" w:eastAsia="Georgia"/>
                <w:b/>
                <w:i w:val="0"/>
                <w:color w:val="C98A0B"/>
                <w:sz w:val="19"/>
              </w:rPr>
              <w:t>Alegado, não comprovado</w:t>
            </w:r>
          </w:p>
        </w:tc>
        <w:tc>
          <w:tcPr>
            <w:tcW w:type="dxa" w:w="192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03-questionario-receita-e-laudo.pdf, p. 3; 04-negativa-administrativa.pdf, p. 2</w:t>
            </w:r>
          </w:p>
        </w:tc>
        <w:tc>
          <w:tcPr>
            <w:tcW w:type="dxa" w:w="3742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O laudo nomeia os ensaios randomizados First-HD e ARC-HD e diz que há tradução juramentada, mas os estudos não estão nos autos e não há revisão sistemática nem meta-análise. A análise médica da SES registra que os ensaios exigiam eletrocardiograma sem QT prolongado, exame não apresentado, e conclui pela não comprovação.</w:t>
            </w:r>
          </w:p>
        </w:tc>
      </w:tr>
      <w:tr>
        <w:tc>
          <w:tcPr>
            <w:tcW w:type="dxa" w:w="209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(e) Imprescindibilidade clínica, com laudo fundamentado</w:t>
            </w:r>
          </w:p>
        </w:tc>
        <w:tc>
          <w:tcPr>
            <w:tcW w:type="dxa" w:w="1587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color w:val="2E7D5B"/>
                <w:sz w:val="19"/>
              </w:rPr>
              <w:t xml:space="preserve">● </w:t>
            </w:r>
            <w:r>
              <w:rPr>
                <w:rFonts w:ascii="Georgia" w:hAnsi="Georgia" w:eastAsia="Georgia"/>
                <w:b/>
                <w:i w:val="0"/>
                <w:color w:val="2E7D5B"/>
                <w:sz w:val="19"/>
              </w:rPr>
              <w:t>Atendido</w:t>
            </w:r>
          </w:p>
        </w:tc>
        <w:tc>
          <w:tcPr>
            <w:tcW w:type="dxa" w:w="192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03-questionario-receita-e-laudo.pdf, p. 3 e 4</w:t>
            </w:r>
          </w:p>
        </w:tc>
        <w:tc>
          <w:tcPr>
            <w:tcW w:type="dxa" w:w="3742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O laudo descreve diagnóstico, evolução, tratamentos já feitos (haloperidol, fenobarbital, escitalopram) e resposta insatisfatória, e o exame genético confirma a doença. Ressalvas: o NATJus diz não ter visto exames complementares nem informação sobre tratamentos anteriores, e o questionário contradiz o laudo sobre o uso de alternativas do SUS.</w:t>
            </w:r>
          </w:p>
        </w:tc>
      </w:tr>
      <w:tr>
        <w:tc>
          <w:tcPr>
            <w:tcW w:type="dxa" w:w="209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(f) Incapacidade financeira</w:t>
            </w:r>
          </w:p>
        </w:tc>
        <w:tc>
          <w:tcPr>
            <w:tcW w:type="dxa" w:w="1587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color w:val="5F7390"/>
                <w:sz w:val="19"/>
              </w:rPr>
              <w:t xml:space="preserve">● </w:t>
            </w:r>
            <w:r>
              <w:rPr>
                <w:rFonts w:ascii="Georgia" w:hAnsi="Georgia" w:eastAsia="Georgia"/>
                <w:b/>
                <w:i w:val="0"/>
                <w:color w:val="5F7390"/>
                <w:sz w:val="19"/>
              </w:rPr>
              <w:t>Dispensado</w:t>
            </w:r>
          </w:p>
        </w:tc>
        <w:tc>
          <w:tcPr>
            <w:tcW w:type="dxa" w:w="192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02-declaracao-hipossuficiencia-e-renda.pdf, p. 1 e 2; 01-peticao-inicial.pdf, p. 2</w:t>
            </w:r>
          </w:p>
        </w:tc>
        <w:tc>
          <w:tcPr>
            <w:tcW w:type="dxa" w:w="3742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Autor representado pela Defensoria Pública. Ainda assim há declaração de hipossuficiência e carta do INSS com aposentadoria de R$ 1.302,00 mensais (só a página 1 de 6).</w:t>
            </w:r>
          </w:p>
        </w:tc>
      </w:tr>
    </w:tbl>
    <w:p>
      <w:pPr>
        <w:spacing w:before="80"/>
      </w:pPr>
      <w:r>
        <w:rPr>
          <w:rFonts w:ascii="Georgia" w:hAnsi="Georgia" w:eastAsia="Georgia"/>
          <w:b w:val="0"/>
          <w:i w:val="0"/>
          <w:color w:val="2E7D5B"/>
          <w:sz w:val="16"/>
        </w:rPr>
        <w:t>●</w:t>
      </w:r>
      <w:r>
        <w:rPr>
          <w:rFonts w:ascii="Georgia" w:hAnsi="Georgia" w:eastAsia="Georgia"/>
          <w:b w:val="0"/>
          <w:i w:val="0"/>
          <w:color w:val="666666"/>
          <w:sz w:val="16"/>
        </w:rPr>
        <w:t xml:space="preserve"> Atendido    </w:t>
      </w:r>
      <w:r>
        <w:rPr>
          <w:rFonts w:ascii="Georgia" w:hAnsi="Georgia" w:eastAsia="Georgia"/>
          <w:b w:val="0"/>
          <w:i w:val="0"/>
          <w:color w:val="C98A0B"/>
          <w:sz w:val="16"/>
        </w:rPr>
        <w:t>●</w:t>
      </w:r>
      <w:r>
        <w:rPr>
          <w:rFonts w:ascii="Georgia" w:hAnsi="Georgia" w:eastAsia="Georgia"/>
          <w:b w:val="0"/>
          <w:i w:val="0"/>
          <w:color w:val="666666"/>
          <w:sz w:val="16"/>
        </w:rPr>
        <w:t xml:space="preserve"> Alegado, não comprovado    </w:t>
      </w:r>
      <w:r>
        <w:rPr>
          <w:rFonts w:ascii="Georgia" w:hAnsi="Georgia" w:eastAsia="Georgia"/>
          <w:b w:val="0"/>
          <w:i w:val="0"/>
          <w:color w:val="B3402F"/>
          <w:sz w:val="16"/>
        </w:rPr>
        <w:t>●</w:t>
      </w:r>
      <w:r>
        <w:rPr>
          <w:rFonts w:ascii="Georgia" w:hAnsi="Georgia" w:eastAsia="Georgia"/>
          <w:b w:val="0"/>
          <w:i w:val="0"/>
          <w:color w:val="666666"/>
          <w:sz w:val="16"/>
        </w:rPr>
        <w:t xml:space="preserve"> Não encontrei nos autos    </w:t>
      </w:r>
      <w:r>
        <w:rPr>
          <w:rFonts w:ascii="Georgia" w:hAnsi="Georgia" w:eastAsia="Georgia"/>
          <w:b w:val="0"/>
          <w:i w:val="0"/>
          <w:color w:val="5F7390"/>
          <w:sz w:val="16"/>
        </w:rPr>
        <w:t>●</w:t>
      </w:r>
      <w:r>
        <w:rPr>
          <w:rFonts w:ascii="Georgia" w:hAnsi="Georgia" w:eastAsia="Georgia"/>
          <w:b w:val="0"/>
          <w:i w:val="0"/>
          <w:color w:val="666666"/>
          <w:sz w:val="16"/>
        </w:rPr>
        <w:t xml:space="preserve"> Dispensado    </w:t>
      </w:r>
    </w:p>
    <w:p>
      <w:pPr>
        <w:spacing w:before="360" w:after="120"/>
      </w:pPr>
      <w:r>
        <w:rPr>
          <w:rFonts w:ascii="Georgia" w:hAnsi="Georgia" w:eastAsia="Georgia"/>
          <w:b/>
          <w:i w:val="0"/>
          <w:color w:val="064A45"/>
          <w:sz w:val="24"/>
        </w:rPr>
        <w:t>Tema 1234: competência</w:t>
      </w:r>
    </w:p>
    <w:tbl>
      <w:tblPr>
        <w:tblLook w:firstColumn="1" w:firstRow="1" w:lastColumn="0" w:lastRow="0" w:noHBand="0" w:noVBand="1" w:val="04A0"/>
        <w:tblW w:w="9355" w:type="dxa"/>
        <w:tblLayout w:type="fixed"/>
      </w:tblPr>
      <w:tblGrid>
        <w:gridCol w:w="4677"/>
        <w:gridCol w:w="4677"/>
      </w:tblGrid>
      <w:tr>
        <w:tc>
          <w:tcPr>
            <w:tcW w:type="dxa" w:w="3969"/>
            <w:tcMar>
              <w:top w:w="50" w:type="dxa"/>
              <w:start w:w="0" w:type="dxa"/>
              <w:bottom w:w="50" w:type="dxa"/>
              <w:end w:w="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color w:val="666666"/>
                <w:sz w:val="20"/>
              </w:rPr>
              <w:t>Valor anual do tratamento</w:t>
            </w:r>
          </w:p>
        </w:tc>
        <w:tc>
          <w:tcPr>
            <w:tcW w:type="dxa" w:w="5386"/>
            <w:tcMar>
              <w:top w:w="50" w:type="dxa"/>
              <w:start w:w="0" w:type="dxa"/>
              <w:bottom w:w="50" w:type="dxa"/>
              <w:end w:w="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/>
                <w:i w:val="0"/>
                <w:sz w:val="21"/>
              </w:rPr>
              <w:t>R$ 692.999,04 (estimativa do parecer técnico, 08-parecer-custos.pdf, p. 1)</w:t>
            </w:r>
          </w:p>
        </w:tc>
      </w:tr>
      <w:tr>
        <w:tc>
          <w:tcPr>
            <w:tcW w:type="dxa" w:w="3969"/>
            <w:tcMar>
              <w:top w:w="50" w:type="dxa"/>
              <w:start w:w="0" w:type="dxa"/>
              <w:bottom w:w="50" w:type="dxa"/>
              <w:end w:w="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color w:val="666666"/>
                <w:sz w:val="20"/>
              </w:rPr>
              <w:t>210 salários mínimos</w:t>
            </w:r>
          </w:p>
        </w:tc>
        <w:tc>
          <w:tcPr>
            <w:tcW w:type="dxa" w:w="5386"/>
            <w:tcMar>
              <w:top w:w="50" w:type="dxa"/>
              <w:start w:w="0" w:type="dxa"/>
              <w:bottom w:w="50" w:type="dxa"/>
              <w:end w:w="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/>
                <w:i w:val="0"/>
                <w:sz w:val="21"/>
              </w:rPr>
              <w:t>210 salários mínimos (conferir o valor vigente)</w:t>
            </w:r>
          </w:p>
        </w:tc>
      </w:tr>
      <w:tr>
        <w:tc>
          <w:tcPr>
            <w:tcW w:type="dxa" w:w="3969"/>
            <w:tcMar>
              <w:top w:w="50" w:type="dxa"/>
              <w:start w:w="0" w:type="dxa"/>
              <w:bottom w:w="50" w:type="dxa"/>
              <w:end w:w="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color w:val="666666"/>
                <w:sz w:val="20"/>
              </w:rPr>
              <w:t>Onde tramita</w:t>
            </w:r>
          </w:p>
        </w:tc>
        <w:tc>
          <w:tcPr>
            <w:tcW w:type="dxa" w:w="5386"/>
            <w:tcMar>
              <w:top w:w="50" w:type="dxa"/>
              <w:start w:w="0" w:type="dxa"/>
              <w:bottom w:w="50" w:type="dxa"/>
              <w:end w:w="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/>
                <w:i w:val="0"/>
                <w:sz w:val="21"/>
              </w:rPr>
              <w:t>Justiça Federal (07-decisao-incompetencia.pdf, p. 1)</w:t>
            </w:r>
          </w:p>
        </w:tc>
      </w:tr>
    </w:tbl>
    <w:p>
      <w:pPr>
        <w:spacing w:before="120"/>
      </w:pPr>
      <w:r>
        <w:rPr>
          <w:rFonts w:ascii="Georgia" w:hAnsi="Georgia" w:eastAsia="Georgia"/>
          <w:b w:val="0"/>
          <w:i/>
          <w:color w:val="666666"/>
          <w:sz w:val="18"/>
        </w:rPr>
        <w:t>Fatos dos autos: o NATJus traz o PMVG das caixas de 6, 9 e 12 mg pela alíquota de 17% de ICMS (05-nota-tecnica-natjus.pdf, p. 2); o parecer usa esses mesmos valores para 7 semanas de titulação mais 10 meses e meio de manutenção; a decisão de 16/01/2026 não faz a conta, apenas cita os preços por caixa e o uso contínuo, e remete o caso à Justiça Federal. O valor da causa (R$ 44.125,09) é o preço de uma caixa de 12 mg em farmácia e não serve para a competência. O aluno deve refazer a conta com o PMVG na alíquota zero da lista CMED, como manda o Tema 1234, e com o salário mínimo vigente.</w:t>
      </w:r>
    </w:p>
    <w:p>
      <w:pPr>
        <w:spacing w:before="360" w:after="120"/>
      </w:pPr>
      <w:r>
        <w:rPr>
          <w:rFonts w:ascii="Georgia" w:hAnsi="Georgia" w:eastAsia="Georgia"/>
          <w:b/>
          <w:i w:val="0"/>
          <w:color w:val="064A45"/>
          <w:sz w:val="24"/>
        </w:rPr>
        <w:t>Pontos para conferência humana</w:t>
      </w:r>
    </w:p>
    <w:p>
      <w:pPr>
        <w:spacing w:after="60"/>
        <w:ind w:left="283" w:hanging="283"/>
      </w:pPr>
      <w:r>
        <w:rPr>
          <w:rFonts w:ascii="Georgia" w:hAnsi="Georgia" w:eastAsia="Georgia"/>
          <w:b w:val="0"/>
          <w:i w:val="0"/>
          <w:sz w:val="20"/>
        </w:rPr>
        <w:t>–  Refazer o custo anual com o PMVG na alíquota zero da lista CMED, porque os preços dos autos são da alíquota de 17%.</w:t>
      </w:r>
    </w:p>
    <w:p>
      <w:pPr>
        <w:spacing w:after="60"/>
        <w:ind w:left="283" w:hanging="283"/>
      </w:pPr>
      <w:r>
        <w:rPr>
          <w:rFonts w:ascii="Georgia" w:hAnsi="Georgia" w:eastAsia="Georgia"/>
          <w:b w:val="0"/>
          <w:i w:val="0"/>
          <w:sz w:val="20"/>
        </w:rPr>
        <w:t>–  Conferir na Conitec a situação atual do pedido de incorporação da deutetrabenazina: o prazo de 180 mais 90 dias, que não tinha vencido na decisão da tutela, já pode ter vencido na data da análise.</w:t>
      </w:r>
    </w:p>
    <w:p>
      <w:pPr>
        <w:spacing w:after="60"/>
        <w:ind w:left="283" w:hanging="283"/>
      </w:pPr>
      <w:r>
        <w:rPr>
          <w:rFonts w:ascii="Georgia" w:hAnsi="Georgia" w:eastAsia="Georgia"/>
          <w:b w:val="0"/>
          <w:i w:val="0"/>
          <w:sz w:val="20"/>
        </w:rPr>
        <w:t>–  Conferir se os artigos dos ensaios First-HD e ARC-HD foram juntados depois; nestes autos só há a menção no laudo e as referências citadas pela SES.</w:t>
      </w:r>
    </w:p>
    <w:p>
      <w:pPr>
        <w:spacing w:after="60"/>
        <w:ind w:left="283" w:hanging="283"/>
      </w:pPr>
      <w:r>
        <w:rPr>
          <w:rFonts w:ascii="Georgia" w:hAnsi="Georgia" w:eastAsia="Georgia"/>
          <w:b w:val="0"/>
          <w:i w:val="0"/>
          <w:sz w:val="20"/>
        </w:rPr>
        <w:t>–  Registrar as incoerências entre inicial (médico da rede pública), questionário e NATJus (atendimento particular), e o pedido de tutela do item b, que fala em protetor solar e foi tratado pela juíza como erro material.</w:t>
      </w:r>
    </w:p>
    <w:p>
      <w:pPr>
        <w:spacing w:after="60"/>
        <w:ind w:left="283" w:hanging="283"/>
      </w:pPr>
      <w:r>
        <w:rPr>
          <w:rFonts w:ascii="Georgia" w:hAnsi="Georgia" w:eastAsia="Georgia"/>
          <w:b w:val="0"/>
          <w:i w:val="0"/>
          <w:sz w:val="20"/>
        </w:rPr>
        <w:t>–  Este relatório organiza a leitura; a decisão sobre a defesa é do procurador.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701" w:right="1276" w:bottom="1247" w:left="12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54" w:val="right"/>
      </w:tabs>
    </w:pPr>
    <w:r>
      <w:rPr>
        <w:rFonts w:ascii="Georgia" w:hAnsi="Georgia" w:eastAsia="Georgia"/>
        <w:b w:val="0"/>
        <w:i w:val="0"/>
        <w:color w:val="666666"/>
        <w:sz w:val="17"/>
      </w:rPr>
      <w:t>Dias &amp; Moura Advocacia · documento fictício</w:t>
      <w:tab/>
      <w:tab/>
      <w:t xml:space="preserve">Página </w:t>
    </w:r>
    <w:r>
      <w:rPr>
        <w:rFonts w:ascii="Georgia" w:hAnsi="Georgia" w:eastAsia="Georgia"/>
        <w:b w:val="0"/>
        <w:i w:val="0"/>
        <w:color w:val="666666"/>
        <w:sz w:val="17"/>
      </w:rPr>
      <w:fldChar w:fldCharType="begin"/>
    </w:r>
    <w:r>
      <w:rPr>
        <w:rFonts w:ascii="Georgia" w:hAnsi="Georgia" w:eastAsia="Georgia"/>
        <w:b w:val="0"/>
        <w:i w:val="0"/>
        <w:color w:val="666666"/>
        <w:sz w:val="17"/>
      </w:rPr>
      <w:instrText xml:space="preserve">PAGE</w:instrText>
    </w:r>
    <w:r>
      <w:rPr>
        <w:rFonts w:ascii="Georgia" w:hAnsi="Georgia" w:eastAsia="Georgia"/>
        <w:b w:val="0"/>
        <w:i w:val="0"/>
        <w:color w:val="666666"/>
        <w:sz w:val="17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54" w:val="right"/>
      </w:tabs>
      <w:pBdr>
        <w:bottom w:val="single" w:sz="6" w:space="6" w:color="B87548"/>
      </w:pBdr>
    </w:pPr>
    <w:r>
      <w:drawing>
        <wp:inline xmlns:a="http://schemas.openxmlformats.org/drawingml/2006/main" xmlns:pic="http://schemas.openxmlformats.org/drawingml/2006/picture">
          <wp:extent cx="1778400" cy="468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escritori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778400" cy="468000"/>
                  </a:xfrm>
                  <a:prstGeom prst="rect"/>
                </pic:spPr>
              </pic:pic>
            </a:graphicData>
          </a:graphic>
        </wp:inline>
      </w:drawing>
    </w:r>
    <w:r>
      <w:rPr>
        <w:rFonts w:ascii="Georgia" w:hAnsi="Georgia" w:eastAsia="Georgia"/>
        <w:b w:val="0"/>
        <w:i w:val="0"/>
        <w:color w:val="666666"/>
        <w:sz w:val="18"/>
      </w:rPr>
      <w:tab/>
      <w:tab/>
      <w:t>Documento de trabalho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88" w:lineRule="auto"/>
    </w:pPr>
    <w:rPr>
      <w:rFonts w:ascii="Georgia" w:hAnsi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