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40"/>
      </w:pPr>
      <w:r>
        <w:rPr>
          <w:rFonts w:ascii="Georgia" w:hAnsi="Georgia" w:eastAsia="Georgia"/>
          <w:b/>
          <w:i w:val="0"/>
          <w:color w:val="064A45"/>
          <w:sz w:val="40"/>
        </w:rPr>
        <w:t>Relatório de conformidade</w:t>
      </w:r>
    </w:p>
    <w:p>
      <w:pPr>
        <w:spacing w:after="200"/>
        <w:pBdr>
          <w:bottom w:val="single" w:sz="8" w:space="8" w:color="B87548"/>
        </w:pBdr>
      </w:pPr>
      <w:r>
        <w:rPr>
          <w:rFonts w:ascii="Georgia" w:hAnsi="Georgia" w:eastAsia="Georgia"/>
          <w:b w:val="0"/>
          <w:i/>
          <w:color w:val="666666"/>
          <w:sz w:val="22"/>
        </w:rPr>
        <w:t>Temas 6 e 1234 do STF · Semaglutida (Ozempic) 1 mg, uso subcutâneo semanal</w:t>
      </w:r>
    </w:p>
    <w:tbl>
      <w:tblPr>
        <w:tblLook w:firstColumn="1" w:firstRow="1" w:lastColumn="0" w:lastRow="0" w:noHBand="0" w:noVBand="1" w:val="04A0"/>
        <w:tblW w:w="9355" w:type="dxa"/>
        <w:tblLayout w:type="fixed"/>
      </w:tblPr>
      <w:tblGrid>
        <w:gridCol w:w="4677"/>
        <w:gridCol w:w="4677"/>
      </w:tblGrid>
      <w:tr>
        <w:tc>
          <w:tcPr>
            <w:tcW w:type="dxa" w:w="2835"/>
            <w:tcMar>
              <w:top w:w="50" w:type="dxa"/>
              <w:start w:w="0" w:type="dxa"/>
              <w:bottom w:w="50" w:type="dxa"/>
              <w:end w:w="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 w:val="0"/>
                <w:i w:val="0"/>
                <w:color w:val="666666"/>
                <w:sz w:val="20"/>
              </w:rPr>
              <w:t>Processo</w:t>
            </w:r>
          </w:p>
        </w:tc>
        <w:tc>
          <w:tcPr>
            <w:tcW w:type="dxa" w:w="6520"/>
            <w:tcMar>
              <w:top w:w="50" w:type="dxa"/>
              <w:start w:w="0" w:type="dxa"/>
              <w:bottom w:w="50" w:type="dxa"/>
              <w:end w:w="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/>
                <w:i w:val="0"/>
                <w:sz w:val="21"/>
              </w:rPr>
              <w:t>0999904-04.2026.8.12.0999 (fictício)</w:t>
            </w:r>
          </w:p>
        </w:tc>
      </w:tr>
      <w:tr>
        <w:tc>
          <w:tcPr>
            <w:tcW w:type="dxa" w:w="2835"/>
            <w:tcMar>
              <w:top w:w="50" w:type="dxa"/>
              <w:start w:w="0" w:type="dxa"/>
              <w:bottom w:w="50" w:type="dxa"/>
              <w:end w:w="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 w:val="0"/>
                <w:i w:val="0"/>
                <w:color w:val="666666"/>
                <w:sz w:val="20"/>
              </w:rPr>
              <w:t>Autor representado por</w:t>
            </w:r>
          </w:p>
        </w:tc>
        <w:tc>
          <w:tcPr>
            <w:tcW w:type="dxa" w:w="6520"/>
            <w:tcMar>
              <w:top w:w="50" w:type="dxa"/>
              <w:start w:w="0" w:type="dxa"/>
              <w:bottom w:w="50" w:type="dxa"/>
              <w:end w:w="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/>
                <w:i w:val="0"/>
                <w:sz w:val="21"/>
              </w:rPr>
              <w:t>Advogado particular</w:t>
            </w:r>
          </w:p>
        </w:tc>
      </w:tr>
      <w:tr>
        <w:tc>
          <w:tcPr>
            <w:tcW w:type="dxa" w:w="2835"/>
            <w:tcMar>
              <w:top w:w="50" w:type="dxa"/>
              <w:start w:w="0" w:type="dxa"/>
              <w:bottom w:w="50" w:type="dxa"/>
              <w:end w:w="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 w:val="0"/>
                <w:i w:val="0"/>
                <w:color w:val="666666"/>
                <w:sz w:val="20"/>
              </w:rPr>
              <w:t>Data da análise</w:t>
            </w:r>
          </w:p>
        </w:tc>
        <w:tc>
          <w:tcPr>
            <w:tcW w:type="dxa" w:w="6520"/>
            <w:tcMar>
              <w:top w:w="50" w:type="dxa"/>
              <w:start w:w="0" w:type="dxa"/>
              <w:bottom w:w="50" w:type="dxa"/>
              <w:end w:w="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/>
                <w:i w:val="0"/>
                <w:sz w:val="21"/>
              </w:rPr>
              <w:t>24/10/2026</w:t>
            </w:r>
          </w:p>
        </w:tc>
      </w:tr>
    </w:tbl>
    <w:p>
      <w:pPr>
        <w:spacing w:before="360" w:after="120"/>
      </w:pPr>
      <w:r>
        <w:rPr>
          <w:rFonts w:ascii="Georgia" w:hAnsi="Georgia" w:eastAsia="Georgia"/>
          <w:b/>
          <w:i w:val="0"/>
          <w:color w:val="064A45"/>
          <w:sz w:val="24"/>
        </w:rPr>
        <w:t>Conclusão</w:t>
      </w:r>
    </w:p>
    <w:p>
      <w:pPr>
        <w:spacing w:after="80"/>
      </w:pPr>
      <w:r>
        <w:rPr>
          <w:rFonts w:ascii="Georgia" w:hAnsi="Georgia" w:eastAsia="Georgia"/>
          <w:b/>
          <w:i w:val="0"/>
          <w:sz w:val="22"/>
        </w:rPr>
        <w:t xml:space="preserve">O autor não cumpriu todos os requisitos do Tema 6. </w:t>
      </w:r>
      <w:r>
        <w:rPr>
          <w:rFonts w:ascii="Georgia" w:hAnsi="Georgia" w:eastAsia="Georgia"/>
          <w:b w:val="0"/>
          <w:i w:val="0"/>
          <w:sz w:val="22"/>
        </w:rPr>
        <w:t xml:space="preserve">Estão atendidos ou dispensados 3 de 6. </w:t>
      </w:r>
      <w:r>
        <w:rPr>
          <w:rFonts w:ascii="Georgia" w:hAnsi="Georgia" w:eastAsia="Georgia"/>
          <w:b w:val="0"/>
          <w:i w:val="0"/>
          <w:sz w:val="22"/>
        </w:rPr>
        <w:t>Caso bem instruído, mas que não cumpre todos os requisitos. A negativa administrativa e a incapacidade financeira estão provadas e o laudo é fundamentado. Faltam a discussão sobre a Conitec, a prova de que as alternativas do SUS não servem (só a insulina regular foi afastada) e a evidência de alto nível (o laudo só cita o nome de um estudo, sem juntá-lo).</w:t>
      </w:r>
    </w:p>
    <w:p>
      <w:pPr>
        <w:spacing w:before="360" w:after="120"/>
      </w:pPr>
      <w:r>
        <w:rPr>
          <w:rFonts w:ascii="Georgia" w:hAnsi="Georgia" w:eastAsia="Georgia"/>
          <w:b/>
          <w:i w:val="0"/>
          <w:color w:val="064A45"/>
          <w:sz w:val="24"/>
        </w:rPr>
        <w:t>Tema 6: requisitos</w:t>
      </w:r>
    </w:p>
    <w:tbl>
      <w:tblPr>
        <w:tblLook w:firstColumn="1" w:firstRow="1" w:lastColumn="0" w:lastRow="0" w:noHBand="0" w:noVBand="1" w:val="04A0"/>
        <w:tblW w:w="9355" w:type="dxa"/>
        <w:tblLayout w:type="fixed"/>
      </w:tblPr>
      <w:tblGrid>
        <w:gridCol w:w="2338"/>
        <w:gridCol w:w="2338"/>
        <w:gridCol w:w="2338"/>
        <w:gridCol w:w="2338"/>
      </w:tblGrid>
      <w:tr>
        <w:tc>
          <w:tcPr>
            <w:tcW w:type="dxa" w:w="2098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nil"/>
              <w:left w:val="nil"/>
              <w:bottom w:val="single" w:sz="10" w:color="064A45"/>
              <w:right w:val="nil"/>
            </w:tcBorders>
          </w:tcPr>
          <w:p>
            <w:r>
              <w:rPr>
                <w:rFonts w:ascii="Georgia" w:hAnsi="Georgia" w:eastAsia="Georgia"/>
                <w:b/>
                <w:i w:val="0"/>
                <w:color w:val="064A45"/>
                <w:sz w:val="18"/>
              </w:rPr>
              <w:t>Requisito</w:t>
            </w:r>
          </w:p>
        </w:tc>
        <w:tc>
          <w:tcPr>
            <w:tcW w:type="dxa" w:w="1587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nil"/>
              <w:left w:val="nil"/>
              <w:bottom w:val="single" w:sz="10" w:color="064A45"/>
              <w:right w:val="nil"/>
            </w:tcBorders>
          </w:tcPr>
          <w:p>
            <w:r>
              <w:rPr>
                <w:rFonts w:ascii="Georgia" w:hAnsi="Georgia" w:eastAsia="Georgia"/>
                <w:b/>
                <w:i w:val="0"/>
                <w:color w:val="064A45"/>
                <w:sz w:val="18"/>
              </w:rPr>
              <w:t>Situação</w:t>
            </w:r>
          </w:p>
        </w:tc>
        <w:tc>
          <w:tcPr>
            <w:tcW w:type="dxa" w:w="1928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nil"/>
              <w:left w:val="nil"/>
              <w:bottom w:val="single" w:sz="10" w:color="064A45"/>
              <w:right w:val="nil"/>
            </w:tcBorders>
          </w:tcPr>
          <w:p>
            <w:r>
              <w:rPr>
                <w:rFonts w:ascii="Georgia" w:hAnsi="Georgia" w:eastAsia="Georgia"/>
                <w:b/>
                <w:i w:val="0"/>
                <w:color w:val="064A45"/>
                <w:sz w:val="18"/>
              </w:rPr>
              <w:t>Onde nos autos</w:t>
            </w:r>
          </w:p>
        </w:tc>
        <w:tc>
          <w:tcPr>
            <w:tcW w:type="dxa" w:w="3742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nil"/>
              <w:left w:val="nil"/>
              <w:bottom w:val="single" w:sz="10" w:color="064A45"/>
              <w:right w:val="nil"/>
            </w:tcBorders>
          </w:tcPr>
          <w:p>
            <w:r>
              <w:rPr>
                <w:rFonts w:ascii="Georgia" w:hAnsi="Georgia" w:eastAsia="Georgia"/>
                <w:b/>
                <w:i w:val="0"/>
                <w:color w:val="064A45"/>
                <w:sz w:val="18"/>
              </w:rPr>
              <w:t>Observação</w:t>
            </w:r>
          </w:p>
        </w:tc>
      </w:tr>
      <w:tr>
        <w:tc>
          <w:tcPr>
            <w:tcW w:type="dxa" w:w="2098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 w:val="0"/>
                <w:i w:val="0"/>
                <w:sz w:val="19"/>
              </w:rPr>
              <w:t>(a) Negativa na via administrativa</w:t>
            </w:r>
          </w:p>
        </w:tc>
        <w:tc>
          <w:tcPr>
            <w:tcW w:type="dxa" w:w="1587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 w:val="0"/>
                <w:i w:val="0"/>
                <w:color w:val="2E7D5B"/>
                <w:sz w:val="19"/>
              </w:rPr>
              <w:t xml:space="preserve">● </w:t>
            </w:r>
            <w:r>
              <w:rPr>
                <w:rFonts w:ascii="Georgia" w:hAnsi="Georgia" w:eastAsia="Georgia"/>
                <w:b/>
                <w:i w:val="0"/>
                <w:color w:val="2E7D5B"/>
                <w:sz w:val="19"/>
              </w:rPr>
              <w:t>Atendido</w:t>
            </w:r>
          </w:p>
        </w:tc>
        <w:tc>
          <w:tcPr>
            <w:tcW w:type="dxa" w:w="1928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 w:val="0"/>
                <w:i w:val="0"/>
                <w:sz w:val="19"/>
              </w:rPr>
              <w:t>05-negativa-administrativa.pdf, p. 1 a 3</w:t>
            </w:r>
          </w:p>
        </w:tc>
        <w:tc>
          <w:tcPr>
            <w:tcW w:type="dxa" w:w="3742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 w:val="0"/>
                <w:i w:val="0"/>
                <w:sz w:val="19"/>
              </w:rPr>
              <w:t>O Município negou a semaglutida 1 mg por ofício e por e-mail ao CEJUSC Saúde; o Estado respondeu que não pode fornecer; a certidão do CEJUSC registra que o ente não atendeu. Ressalva: a resposta do Estado fala em semaglutida 2,4 mg, embora a análise médica anexa trate do Ozempic 1 mg e a ação peça 1 mg.</w:t>
            </w:r>
          </w:p>
        </w:tc>
      </w:tr>
      <w:tr>
        <w:tc>
          <w:tcPr>
            <w:tcW w:type="dxa" w:w="2098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 w:val="0"/>
                <w:i w:val="0"/>
                <w:sz w:val="19"/>
              </w:rPr>
              <w:t>(b) Ilegalidade da não incorporação pela Conitec</w:t>
            </w:r>
          </w:p>
        </w:tc>
        <w:tc>
          <w:tcPr>
            <w:tcW w:type="dxa" w:w="1587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 w:val="0"/>
                <w:i w:val="0"/>
                <w:color w:val="B3402F"/>
                <w:sz w:val="19"/>
              </w:rPr>
              <w:t xml:space="preserve">● </w:t>
            </w:r>
            <w:r>
              <w:rPr>
                <w:rFonts w:ascii="Georgia" w:hAnsi="Georgia" w:eastAsia="Georgia"/>
                <w:b/>
                <w:i w:val="0"/>
                <w:color w:val="B3402F"/>
                <w:sz w:val="19"/>
              </w:rPr>
              <w:t>Não encontrei nos autos</w:t>
            </w:r>
          </w:p>
        </w:tc>
        <w:tc>
          <w:tcPr>
            <w:tcW w:type="dxa" w:w="1928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 w:val="0"/>
                <w:i w:val="0"/>
                <w:sz w:val="19"/>
              </w:rPr>
              <w:t>Não encontrei na inicial; 07-nota-tecnica-natjus.pdf, p. 2</w:t>
            </w:r>
          </w:p>
        </w:tc>
        <w:tc>
          <w:tcPr>
            <w:tcW w:type="dxa" w:w="3742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 w:val="0"/>
                <w:i w:val="0"/>
                <w:sz w:val="19"/>
              </w:rPr>
              <w:t>A inicial não trata da Conitec nem dos arts. 19-Q e 19-R. Só o NATJus informa que não há pedido de avaliação da semaglutida em tramitação para essa doença; a autora não argumenta nada a partir disso.</w:t>
            </w:r>
          </w:p>
        </w:tc>
      </w:tr>
      <w:tr>
        <w:tc>
          <w:tcPr>
            <w:tcW w:type="dxa" w:w="2098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 w:val="0"/>
                <w:i w:val="0"/>
                <w:sz w:val="19"/>
              </w:rPr>
              <w:t>(c) Impossibilidade de substituição por medicamento do SUS</w:t>
            </w:r>
          </w:p>
        </w:tc>
        <w:tc>
          <w:tcPr>
            <w:tcW w:type="dxa" w:w="1587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 w:val="0"/>
                <w:i w:val="0"/>
                <w:color w:val="C98A0B"/>
                <w:sz w:val="19"/>
              </w:rPr>
              <w:t xml:space="preserve">● </w:t>
            </w:r>
            <w:r>
              <w:rPr>
                <w:rFonts w:ascii="Georgia" w:hAnsi="Georgia" w:eastAsia="Georgia"/>
                <w:b/>
                <w:i w:val="0"/>
                <w:color w:val="C98A0B"/>
                <w:sz w:val="19"/>
              </w:rPr>
              <w:t>Alegado, não comprovado</w:t>
            </w:r>
          </w:p>
        </w:tc>
        <w:tc>
          <w:tcPr>
            <w:tcW w:type="dxa" w:w="1928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 w:val="0"/>
                <w:i w:val="0"/>
                <w:sz w:val="19"/>
              </w:rPr>
              <w:t>01-peticao-inicial.pdf, p. 1; 02-laudo-medico.pdf, p. 1; 07-nota-tecnica-natjus.pdf, p. 1 e 2</w:t>
            </w:r>
          </w:p>
        </w:tc>
        <w:tc>
          <w:tcPr>
            <w:tcW w:type="dxa" w:w="3742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 w:val="0"/>
                <w:i w:val="0"/>
                <w:sz w:val="19"/>
              </w:rPr>
              <w:t>A inicial diz que o tratamento com insulina foi suspenso, mas o laudo mostra que só a insulina regular foi suspensa e que a autora segue com insulina NPH e metformina. Nada se diz sobre dapagliflozina, glibenclamida e gliclazida, que o PCDT oferece segundo o NATJus.</w:t>
            </w:r>
          </w:p>
        </w:tc>
      </w:tr>
      <w:tr>
        <w:tc>
          <w:tcPr>
            <w:tcW w:type="dxa" w:w="2098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 w:val="0"/>
                <w:i w:val="0"/>
                <w:sz w:val="19"/>
              </w:rPr>
              <w:t>(d) Evidência de alto nível (ensaio randomizado ou revisão sistemática)</w:t>
            </w:r>
          </w:p>
        </w:tc>
        <w:tc>
          <w:tcPr>
            <w:tcW w:type="dxa" w:w="1587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 w:val="0"/>
                <w:i w:val="0"/>
                <w:color w:val="C98A0B"/>
                <w:sz w:val="19"/>
              </w:rPr>
              <w:t xml:space="preserve">● </w:t>
            </w:r>
            <w:r>
              <w:rPr>
                <w:rFonts w:ascii="Georgia" w:hAnsi="Georgia" w:eastAsia="Georgia"/>
                <w:b/>
                <w:i w:val="0"/>
                <w:color w:val="C98A0B"/>
                <w:sz w:val="19"/>
              </w:rPr>
              <w:t>Alegado, não comprovado</w:t>
            </w:r>
          </w:p>
        </w:tc>
        <w:tc>
          <w:tcPr>
            <w:tcW w:type="dxa" w:w="1928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 w:val="0"/>
                <w:i w:val="0"/>
                <w:sz w:val="19"/>
              </w:rPr>
              <w:t>02-laudo-medico.pdf, p. 1; 05-negativa-administrativa.pdf, p. 2; 07-nota-tecnica-natjus.pdf, p. 2</w:t>
            </w:r>
          </w:p>
        </w:tc>
        <w:tc>
          <w:tcPr>
            <w:tcW w:type="dxa" w:w="3742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 w:val="0"/>
                <w:i w:val="0"/>
                <w:sz w:val="19"/>
              </w:rPr>
              <w:t>O laudo apenas menciona o estudo SUSTAIN-6 e diretrizes de sociedades médicas, sem juntar estudo, revisão sistemática ou meta-análise. A análise da SES examinou o estudo SELECT e concluiu que a paciente não se enquadra nele; o NATJus diz que não foram apresentadas evidências robustas.</w:t>
            </w:r>
          </w:p>
        </w:tc>
      </w:tr>
      <w:tr>
        <w:tc>
          <w:tcPr>
            <w:tcW w:type="dxa" w:w="2098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 w:val="0"/>
                <w:i w:val="0"/>
                <w:sz w:val="19"/>
              </w:rPr>
              <w:t>(e) Imprescindibilidade clínica, com laudo fundamentado</w:t>
            </w:r>
          </w:p>
        </w:tc>
        <w:tc>
          <w:tcPr>
            <w:tcW w:type="dxa" w:w="1587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 w:val="0"/>
                <w:i w:val="0"/>
                <w:color w:val="2E7D5B"/>
                <w:sz w:val="19"/>
              </w:rPr>
              <w:t xml:space="preserve">● </w:t>
            </w:r>
            <w:r>
              <w:rPr>
                <w:rFonts w:ascii="Georgia" w:hAnsi="Georgia" w:eastAsia="Georgia"/>
                <w:b/>
                <w:i w:val="0"/>
                <w:color w:val="2E7D5B"/>
                <w:sz w:val="19"/>
              </w:rPr>
              <w:t>Atendido</w:t>
            </w:r>
          </w:p>
        </w:tc>
        <w:tc>
          <w:tcPr>
            <w:tcW w:type="dxa" w:w="1928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 w:val="0"/>
                <w:i w:val="0"/>
                <w:sz w:val="19"/>
              </w:rPr>
              <w:t>02-laudo-medico.pdf, p. 1; 03-receitas.pdf, p. 1</w:t>
            </w:r>
          </w:p>
        </w:tc>
        <w:tc>
          <w:tcPr>
            <w:tcW w:type="dxa" w:w="3742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 w:val="0"/>
                <w:i w:val="0"/>
                <w:sz w:val="19"/>
              </w:rPr>
              <w:t>O laudo descreve a história da doença, o tratamento atual, exames, IMC e a justificativa. Pontos fracos: não examina as alternativas orais do PCDT e a receita da semaglutida não tem data. O NATJus diz que não vieram exames, mas o laudo transcreve exames.</w:t>
            </w:r>
          </w:p>
        </w:tc>
      </w:tr>
      <w:tr>
        <w:tc>
          <w:tcPr>
            <w:tcW w:type="dxa" w:w="2098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 w:val="0"/>
                <w:i w:val="0"/>
                <w:sz w:val="19"/>
              </w:rPr>
              <w:t>(f) Incapacidade financeira</w:t>
            </w:r>
          </w:p>
        </w:tc>
        <w:tc>
          <w:tcPr>
            <w:tcW w:type="dxa" w:w="1587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 w:val="0"/>
                <w:i w:val="0"/>
                <w:color w:val="2E7D5B"/>
                <w:sz w:val="19"/>
              </w:rPr>
              <w:t xml:space="preserve">● </w:t>
            </w:r>
            <w:r>
              <w:rPr>
                <w:rFonts w:ascii="Georgia" w:hAnsi="Georgia" w:eastAsia="Georgia"/>
                <w:b/>
                <w:i w:val="0"/>
                <w:color w:val="2E7D5B"/>
                <w:sz w:val="19"/>
              </w:rPr>
              <w:t>Atendido</w:t>
            </w:r>
          </w:p>
        </w:tc>
        <w:tc>
          <w:tcPr>
            <w:tcW w:type="dxa" w:w="1928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 w:val="0"/>
                <w:i w:val="0"/>
                <w:sz w:val="19"/>
              </w:rPr>
              <w:t>01-peticao-inicial.pdf, p. 1 e 2; 04-renda-e-despesas.pdf, p. 1 e 2</w:t>
            </w:r>
          </w:p>
        </w:tc>
        <w:tc>
          <w:tcPr>
            <w:tcW w:type="dxa" w:w="3742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 w:val="0"/>
                <w:i w:val="0"/>
                <w:sz w:val="19"/>
              </w:rPr>
              <w:t>Advogado particular, com declaração de pobreza, oito demonstrativos de pagamento (líquido de R$ 3.355,01 a R$ 3.711,08, bruto de R$ 5.795,39, reduzido por consignações) e comprovantes de despesas. Não há decisão sobre a gratuidade.</w:t>
            </w:r>
          </w:p>
        </w:tc>
      </w:tr>
    </w:tbl>
    <w:p>
      <w:pPr>
        <w:spacing w:before="80"/>
      </w:pPr>
      <w:r>
        <w:rPr>
          <w:rFonts w:ascii="Georgia" w:hAnsi="Georgia" w:eastAsia="Georgia"/>
          <w:b w:val="0"/>
          <w:i w:val="0"/>
          <w:color w:val="2E7D5B"/>
          <w:sz w:val="16"/>
        </w:rPr>
        <w:t>●</w:t>
      </w:r>
      <w:r>
        <w:rPr>
          <w:rFonts w:ascii="Georgia" w:hAnsi="Georgia" w:eastAsia="Georgia"/>
          <w:b w:val="0"/>
          <w:i w:val="0"/>
          <w:color w:val="666666"/>
          <w:sz w:val="16"/>
        </w:rPr>
        <w:t xml:space="preserve"> Atendido    </w:t>
      </w:r>
      <w:r>
        <w:rPr>
          <w:rFonts w:ascii="Georgia" w:hAnsi="Georgia" w:eastAsia="Georgia"/>
          <w:b w:val="0"/>
          <w:i w:val="0"/>
          <w:color w:val="C98A0B"/>
          <w:sz w:val="16"/>
        </w:rPr>
        <w:t>●</w:t>
      </w:r>
      <w:r>
        <w:rPr>
          <w:rFonts w:ascii="Georgia" w:hAnsi="Georgia" w:eastAsia="Georgia"/>
          <w:b w:val="0"/>
          <w:i w:val="0"/>
          <w:color w:val="666666"/>
          <w:sz w:val="16"/>
        </w:rPr>
        <w:t xml:space="preserve"> Alegado, não comprovado    </w:t>
      </w:r>
      <w:r>
        <w:rPr>
          <w:rFonts w:ascii="Georgia" w:hAnsi="Georgia" w:eastAsia="Georgia"/>
          <w:b w:val="0"/>
          <w:i w:val="0"/>
          <w:color w:val="B3402F"/>
          <w:sz w:val="16"/>
        </w:rPr>
        <w:t>●</w:t>
      </w:r>
      <w:r>
        <w:rPr>
          <w:rFonts w:ascii="Georgia" w:hAnsi="Georgia" w:eastAsia="Georgia"/>
          <w:b w:val="0"/>
          <w:i w:val="0"/>
          <w:color w:val="666666"/>
          <w:sz w:val="16"/>
        </w:rPr>
        <w:t xml:space="preserve"> Não encontrei nos autos    </w:t>
      </w:r>
      <w:r>
        <w:rPr>
          <w:rFonts w:ascii="Georgia" w:hAnsi="Georgia" w:eastAsia="Georgia"/>
          <w:b w:val="0"/>
          <w:i w:val="0"/>
          <w:color w:val="5F7390"/>
          <w:sz w:val="16"/>
        </w:rPr>
        <w:t>●</w:t>
      </w:r>
      <w:r>
        <w:rPr>
          <w:rFonts w:ascii="Georgia" w:hAnsi="Georgia" w:eastAsia="Georgia"/>
          <w:b w:val="0"/>
          <w:i w:val="0"/>
          <w:color w:val="666666"/>
          <w:sz w:val="16"/>
        </w:rPr>
        <w:t xml:space="preserve"> Dispensado    </w:t>
      </w:r>
    </w:p>
    <w:p>
      <w:pPr>
        <w:spacing w:before="360" w:after="120"/>
      </w:pPr>
      <w:r>
        <w:rPr>
          <w:rFonts w:ascii="Georgia" w:hAnsi="Georgia" w:eastAsia="Georgia"/>
          <w:b/>
          <w:i w:val="0"/>
          <w:color w:val="064A45"/>
          <w:sz w:val="24"/>
        </w:rPr>
        <w:t>Tema 1234: competência</w:t>
      </w:r>
    </w:p>
    <w:tbl>
      <w:tblPr>
        <w:tblLook w:firstColumn="1" w:firstRow="1" w:lastColumn="0" w:lastRow="0" w:noHBand="0" w:noVBand="1" w:val="04A0"/>
        <w:tblW w:w="9355" w:type="dxa"/>
        <w:tblLayout w:type="fixed"/>
      </w:tblPr>
      <w:tblGrid>
        <w:gridCol w:w="4677"/>
        <w:gridCol w:w="4677"/>
      </w:tblGrid>
      <w:tr>
        <w:tc>
          <w:tcPr>
            <w:tcW w:type="dxa" w:w="3969"/>
            <w:tcMar>
              <w:top w:w="50" w:type="dxa"/>
              <w:start w:w="0" w:type="dxa"/>
              <w:bottom w:w="50" w:type="dxa"/>
              <w:end w:w="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 w:val="0"/>
                <w:i w:val="0"/>
                <w:color w:val="666666"/>
                <w:sz w:val="20"/>
              </w:rPr>
              <w:t>Valor anual do tratamento</w:t>
            </w:r>
          </w:p>
        </w:tc>
        <w:tc>
          <w:tcPr>
            <w:tcW w:type="dxa" w:w="5386"/>
            <w:tcMar>
              <w:top w:w="50" w:type="dxa"/>
              <w:start w:w="0" w:type="dxa"/>
              <w:bottom w:w="50" w:type="dxa"/>
              <w:end w:w="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/>
                <w:i w:val="0"/>
                <w:sz w:val="21"/>
              </w:rPr>
              <w:t>Não calculado nos autos. A inicial fala em R$ 1.000,00 por caneta de uso semanal e, depois, em R$ 1.000,00 mensais; o valor da causa é R$ 12.000,00. O NATJus informa PMVG de R$ 759,59 por apresentação (doses de 1 mg), com alíquota de 17%.</w:t>
            </w:r>
          </w:p>
        </w:tc>
      </w:tr>
      <w:tr>
        <w:tc>
          <w:tcPr>
            <w:tcW w:type="dxa" w:w="3969"/>
            <w:tcMar>
              <w:top w:w="50" w:type="dxa"/>
              <w:start w:w="0" w:type="dxa"/>
              <w:bottom w:w="50" w:type="dxa"/>
              <w:end w:w="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 w:val="0"/>
                <w:i w:val="0"/>
                <w:color w:val="666666"/>
                <w:sz w:val="20"/>
              </w:rPr>
              <w:t>210 salários mínimos</w:t>
            </w:r>
          </w:p>
        </w:tc>
        <w:tc>
          <w:tcPr>
            <w:tcW w:type="dxa" w:w="5386"/>
            <w:tcMar>
              <w:top w:w="50" w:type="dxa"/>
              <w:start w:w="0" w:type="dxa"/>
              <w:bottom w:w="50" w:type="dxa"/>
              <w:end w:w="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/>
                <w:i w:val="0"/>
                <w:sz w:val="21"/>
              </w:rPr>
              <w:t>210 salários mínimos (conferir o valor vigente)</w:t>
            </w:r>
          </w:p>
        </w:tc>
      </w:tr>
      <w:tr>
        <w:tc>
          <w:tcPr>
            <w:tcW w:type="dxa" w:w="3969"/>
            <w:tcMar>
              <w:top w:w="50" w:type="dxa"/>
              <w:start w:w="0" w:type="dxa"/>
              <w:bottom w:w="50" w:type="dxa"/>
              <w:end w:w="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 w:val="0"/>
                <w:i w:val="0"/>
                <w:color w:val="666666"/>
                <w:sz w:val="20"/>
              </w:rPr>
              <w:t>Onde tramita</w:t>
            </w:r>
          </w:p>
        </w:tc>
        <w:tc>
          <w:tcPr>
            <w:tcW w:type="dxa" w:w="5386"/>
            <w:tcMar>
              <w:top w:w="50" w:type="dxa"/>
              <w:start w:w="0" w:type="dxa"/>
              <w:bottom w:w="50" w:type="dxa"/>
              <w:end w:w="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/>
                <w:i w:val="0"/>
                <w:sz w:val="21"/>
              </w:rPr>
              <w:t>Justiça Estadual: os autos foram remetidos à 1ª Vara do Juizado Especial da Saúde porque o valor da causa fica abaixo de 60 salários mínimos; nenhuma decisão examinou o Tema 1234</w:t>
            </w:r>
          </w:p>
        </w:tc>
      </w:tr>
    </w:tbl>
    <w:p>
      <w:pPr>
        <w:spacing w:before="120"/>
      </w:pPr>
      <w:r>
        <w:rPr>
          <w:rFonts w:ascii="Georgia" w:hAnsi="Georgia" w:eastAsia="Georgia"/>
          <w:b w:val="0"/>
          <w:i/>
          <w:color w:val="666666"/>
          <w:sz w:val="18"/>
        </w:rPr>
        <w:t>Fato dos autos: os preços do NATJus e da inicial, o valor da causa e as decisões de competência. O aluno deve conferir na lista CMED o PMVG com alíquota zero (o NATJus usou 17%), quantas canetas o tratamento anual exige e o salário mínimo vigente. Com qualquer cálculo razoável o valor fica muito abaixo de 210 salários mínimos.</w:t>
      </w:r>
    </w:p>
    <w:p>
      <w:pPr>
        <w:spacing w:before="360" w:after="120"/>
      </w:pPr>
      <w:r>
        <w:rPr>
          <w:rFonts w:ascii="Georgia" w:hAnsi="Georgia" w:eastAsia="Georgia"/>
          <w:b/>
          <w:i w:val="0"/>
          <w:color w:val="064A45"/>
          <w:sz w:val="24"/>
        </w:rPr>
        <w:t>Pontos para conferência humana</w:t>
      </w:r>
    </w:p>
    <w:p>
      <w:pPr>
        <w:spacing w:after="60"/>
        <w:ind w:left="283" w:hanging="283"/>
      </w:pPr>
      <w:r>
        <w:rPr>
          <w:rFonts w:ascii="Georgia" w:hAnsi="Georgia" w:eastAsia="Georgia"/>
          <w:b w:val="0"/>
          <w:i w:val="0"/>
          <w:sz w:val="20"/>
        </w:rPr>
        <w:t>–  Conferir a divergência de dose: o Estado respondeu sobre semaglutida 2,4 mg, enquanto a receita e a ação pedem 1 mg.</w:t>
      </w:r>
    </w:p>
    <w:p>
      <w:pPr>
        <w:spacing w:after="60"/>
        <w:ind w:left="283" w:hanging="283"/>
      </w:pPr>
      <w:r>
        <w:rPr>
          <w:rFonts w:ascii="Georgia" w:hAnsi="Georgia" w:eastAsia="Georgia"/>
          <w:b w:val="0"/>
          <w:i w:val="0"/>
          <w:sz w:val="20"/>
        </w:rPr>
        <w:t>–  Conferir na lista da Conitec se existe pedido de incorporação da semaglutida para diabetes tipo 2, e nas listas RENAME, RESME e REMUME, na data da análise.</w:t>
      </w:r>
    </w:p>
    <w:p>
      <w:pPr>
        <w:spacing w:after="60"/>
        <w:ind w:left="283" w:hanging="283"/>
      </w:pPr>
      <w:r>
        <w:rPr>
          <w:rFonts w:ascii="Georgia" w:hAnsi="Georgia" w:eastAsia="Georgia"/>
          <w:b w:val="0"/>
          <w:i w:val="0"/>
          <w:sz w:val="20"/>
        </w:rPr>
        <w:t>–  Conferir o custo: a inicial é incoerente (R$ 1.000,00 por caneta semanal e R$ 1.000,00 mensais) e o NATJus usou PMVG com alíquota de 17%.</w:t>
      </w:r>
    </w:p>
    <w:p>
      <w:pPr>
        <w:spacing w:after="60"/>
        <w:ind w:left="283" w:hanging="283"/>
      </w:pPr>
      <w:r>
        <w:rPr>
          <w:rFonts w:ascii="Georgia" w:hAnsi="Georgia" w:eastAsia="Georgia"/>
          <w:b w:val="0"/>
          <w:i w:val="0"/>
          <w:sz w:val="20"/>
        </w:rPr>
        <w:t>–  Conferir se há decisão posterior sobre a tutela de urgência e a gratuidade, que não constam dos autos.</w:t>
      </w:r>
    </w:p>
    <w:p>
      <w:pPr>
        <w:spacing w:after="60"/>
        <w:ind w:left="283" w:hanging="283"/>
      </w:pPr>
      <w:r>
        <w:rPr>
          <w:rFonts w:ascii="Georgia" w:hAnsi="Georgia" w:eastAsia="Georgia"/>
          <w:b w:val="0"/>
          <w:i w:val="0"/>
          <w:sz w:val="20"/>
        </w:rPr>
        <w:t>–  Este relatório organiza a leitura; a decisão sobre a defesa é do procurador.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701" w:right="1276" w:bottom="1247" w:left="12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354" w:val="right"/>
      </w:tabs>
    </w:pPr>
    <w:r>
      <w:rPr>
        <w:rFonts w:ascii="Georgia" w:hAnsi="Georgia" w:eastAsia="Georgia"/>
        <w:b w:val="0"/>
        <w:i w:val="0"/>
        <w:color w:val="666666"/>
        <w:sz w:val="17"/>
      </w:rPr>
      <w:t>Dias &amp; Moura Advocacia · documento fictício</w:t>
      <w:tab/>
      <w:tab/>
      <w:t xml:space="preserve">Página </w:t>
    </w:r>
    <w:r>
      <w:rPr>
        <w:rFonts w:ascii="Georgia" w:hAnsi="Georgia" w:eastAsia="Georgia"/>
        <w:b w:val="0"/>
        <w:i w:val="0"/>
        <w:color w:val="666666"/>
        <w:sz w:val="17"/>
      </w:rPr>
      <w:fldChar w:fldCharType="begin"/>
    </w:r>
    <w:r>
      <w:rPr>
        <w:rFonts w:ascii="Georgia" w:hAnsi="Georgia" w:eastAsia="Georgia"/>
        <w:b w:val="0"/>
        <w:i w:val="0"/>
        <w:color w:val="666666"/>
        <w:sz w:val="17"/>
      </w:rPr>
      <w:instrText xml:space="preserve">PAGE</w:instrText>
    </w:r>
    <w:r>
      <w:rPr>
        <w:rFonts w:ascii="Georgia" w:hAnsi="Georgia" w:eastAsia="Georgia"/>
        <w:b w:val="0"/>
        <w:i w:val="0"/>
        <w:color w:val="666666"/>
        <w:sz w:val="17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354" w:val="right"/>
      </w:tabs>
      <w:pBdr>
        <w:bottom w:val="single" w:sz="6" w:space="6" w:color="B87548"/>
      </w:pBdr>
    </w:pPr>
    <w:r>
      <w:drawing>
        <wp:inline xmlns:a="http://schemas.openxmlformats.org/drawingml/2006/main" xmlns:pic="http://schemas.openxmlformats.org/drawingml/2006/picture">
          <wp:extent cx="1778400" cy="468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-escritori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778400" cy="468000"/>
                  </a:xfrm>
                  <a:prstGeom prst="rect"/>
                </pic:spPr>
              </pic:pic>
            </a:graphicData>
          </a:graphic>
        </wp:inline>
      </w:drawing>
    </w:r>
    <w:r>
      <w:rPr>
        <w:rFonts w:ascii="Georgia" w:hAnsi="Georgia" w:eastAsia="Georgia"/>
        <w:b w:val="0"/>
        <w:i w:val="0"/>
        <w:color w:val="666666"/>
        <w:sz w:val="18"/>
      </w:rPr>
      <w:tab/>
      <w:tab/>
      <w:t>Documento de trabalho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88" w:lineRule="auto"/>
    </w:pPr>
    <w:rPr>
      <w:rFonts w:ascii="Georgia" w:hAnsi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