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</w:pPr>
      <w:r>
        <w:rPr>
          <w:rFonts w:ascii="Georgia" w:hAnsi="Georgia" w:eastAsia="Georgia"/>
          <w:b/>
          <w:i w:val="0"/>
          <w:color w:val="064A45"/>
          <w:sz w:val="40"/>
        </w:rPr>
        <w:t>Relatório de conformidade</w:t>
      </w:r>
    </w:p>
    <w:p>
      <w:pPr>
        <w:spacing w:after="200"/>
        <w:pBdr>
          <w:bottom w:val="single" w:sz="8" w:space="8" w:color="B87548"/>
        </w:pBdr>
      </w:pPr>
      <w:r>
        <w:rPr>
          <w:rFonts w:ascii="Georgia" w:hAnsi="Georgia" w:eastAsia="Georgia"/>
          <w:b w:val="0"/>
          <w:i/>
          <w:color w:val="666666"/>
          <w:sz w:val="22"/>
        </w:rPr>
        <w:t>Temas 6 e 1234 do STF · Risperidona 2 mg comprimido (esquizofrenia paranoide, CID F20.0)</w:t>
      </w:r>
    </w:p>
    <w:tbl>
      <w:tblPr>
        <w:tblLook w:firstColumn="1" w:firstRow="1" w:lastColumn="0" w:lastRow="0" w:noHBand="0" w:noVBand="1" w:val="04A0"/>
        <w:tblW w:w="9355" w:type="dxa"/>
        <w:tblLayout w:type="fixed"/>
      </w:tblPr>
      <w:tblGrid>
        <w:gridCol w:w="4677"/>
        <w:gridCol w:w="4677"/>
      </w:tblGrid>
      <w:tr>
        <w:tc>
          <w:tcPr>
            <w:tcW w:type="dxa" w:w="2835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Processo</w:t>
            </w:r>
          </w:p>
        </w:tc>
        <w:tc>
          <w:tcPr>
            <w:tcW w:type="dxa" w:w="6520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0899413-29.2026.8.12.0099 (fictício)</w:t>
            </w:r>
          </w:p>
        </w:tc>
      </w:tr>
      <w:tr>
        <w:tc>
          <w:tcPr>
            <w:tcW w:type="dxa" w:w="2835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Autor representado por</w:t>
            </w:r>
          </w:p>
        </w:tc>
        <w:tc>
          <w:tcPr>
            <w:tcW w:type="dxa" w:w="6520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Defensoria Pública</w:t>
            </w:r>
          </w:p>
        </w:tc>
      </w:tr>
      <w:tr>
        <w:tc>
          <w:tcPr>
            <w:tcW w:type="dxa" w:w="2835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Data da análise</w:t>
            </w:r>
          </w:p>
        </w:tc>
        <w:tc>
          <w:tcPr>
            <w:tcW w:type="dxa" w:w="6520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24/10/2026</w:t>
            </w:r>
          </w:p>
        </w:tc>
      </w:tr>
    </w:tbl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Conclusão</w:t>
      </w:r>
    </w:p>
    <w:p>
      <w:pPr>
        <w:spacing w:after="80"/>
      </w:pPr>
      <w:r>
        <w:rPr>
          <w:rFonts w:ascii="Georgia" w:hAnsi="Georgia" w:eastAsia="Georgia"/>
          <w:b/>
          <w:i w:val="0"/>
          <w:sz w:val="22"/>
        </w:rPr>
        <w:t xml:space="preserve">O autor não cumpriu todos os requisitos do Tema 6. </w:t>
      </w:r>
      <w:r>
        <w:rPr>
          <w:rFonts w:ascii="Georgia" w:hAnsi="Georgia" w:eastAsia="Georgia"/>
          <w:b w:val="0"/>
          <w:i w:val="0"/>
          <w:sz w:val="22"/>
        </w:rPr>
        <w:t xml:space="preserve">Estão atendidos ou dispensados 2 de 6. </w:t>
      </w:r>
      <w:r>
        <w:rPr>
          <w:rFonts w:ascii="Georgia" w:hAnsi="Georgia" w:eastAsia="Georgia"/>
          <w:b w:val="0"/>
          <w:i w:val="0"/>
          <w:sz w:val="22"/>
        </w:rPr>
        <w:t>A negativa administrativa está provada (ofício ao Município, pedido no CEJUSC e recusa escrita do Estado). A risperidona já consta das listas do SUS (RENAME, CEAF Grupo 1B e REMUME), e a recusa se funda no PCDT, que recomenda um antipsicótico por vez, porque a autora já usa quetiapina. Não há ensaio clínico randomizado, revisão sistemática nem meta-análise; a insubstituibilidade e o histórico de tratamento são afirmados sem fundamentação. A renda fica dispensada pela assistência da Defensoria. A tutela foi deferida.</w:t>
      </w:r>
    </w:p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Tema 6: requisitos</w:t>
      </w:r>
    </w:p>
    <w:tbl>
      <w:tblPr>
        <w:tblLook w:firstColumn="1" w:firstRow="1" w:lastColumn="0" w:lastRow="0" w:noHBand="0" w:noVBand="1" w:val="04A0"/>
        <w:tblW w:w="9355" w:type="dxa"/>
        <w:tblLayout w:type="fixed"/>
      </w:tblPr>
      <w:tblGrid>
        <w:gridCol w:w="2338"/>
        <w:gridCol w:w="2338"/>
        <w:gridCol w:w="2338"/>
        <w:gridCol w:w="2338"/>
      </w:tblGrid>
      <w:tr>
        <w:tc>
          <w:tcPr>
            <w:tcW w:type="dxa" w:w="2098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Requisito</w:t>
            </w:r>
          </w:p>
        </w:tc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Situação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Onde nos autos</w:t>
            </w:r>
          </w:p>
        </w:tc>
        <w:tc>
          <w:tcPr>
            <w:tcW w:type="dxa" w:w="3742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Observação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(a) Negativa na via administrativa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2E7D5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2E7D5B"/>
                <w:sz w:val="19"/>
              </w:rPr>
              <w:t>Atendido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06-negativa-administrativa.pdf, p. 1 a 4; 01-peticao-inicial.pdf, p. 2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Ofício nº 87/2026 ao Município, com comprovante de envio em 19/01/2026 (p. 1), sem resposta do Município nos autos antes da inicial. Pedido no CEJUSC-TJ/Saúde recebido em 19/01/2026 (p. 2). O Estado respondeu por escrito que não é possível fornecer o medicamento (p. 3), e a certidão de 11/02/2026 registra que o ente não atendeu a providência (p. 4).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(b) Ilegalidade da não incorporação pela Conitec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B3402F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B3402F"/>
                <w:sz w:val="19"/>
              </w:rPr>
              <w:t>Não encontrei nos autos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Não encontrei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Ninguém nos autos trata de Conitec, de pedido de incorporação ou dos prazos dos arts. 19-Q e 19-R. O próprio Estado afirma que a risperidona está incorporada e integra o Grupo 1B do CEAF (06-negativa-administrativa.pdf, p. 3), e o NATJus a aponta na REMUME (08-nota-tecnica-natjus.pdf, p. 1). A controvérsia é de enquadramento no PCDT, não de incorporação.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(c) Impossibilidade de substituição por medicamento do SUS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C98A0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C98A0B"/>
                <w:sz w:val="19"/>
              </w:rPr>
              <w:t>Alegado, não comprovado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02-laudo-medico.pdf, p. 1; 04-questionario-medico.pdf, p. 2; 01-peticao-inicial.pdf, p. 2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O laudo diz que a risperidona é insubstituível no momento, sem explicar por quê, e não menciona a quetiapina. O questionário marca que não há substituto, mas informa que a quetiapina, alternativa do SUS, está em uso com melhora parcial. A inicial atribui ao médico a afirmação de que a associação das duas é necessária, o que o laudo transcrito não diz. O PCDT citado pelo Estado e pelo NATJus recomenda monoterapia.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(d) Evidência de alto nível (ensaio randomizado ou revisão sistemática)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C98A0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C98A0B"/>
                <w:sz w:val="19"/>
              </w:rPr>
              <w:t>Alegado, não comprovado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04-questionario-medico.pdf, p. 1 e 2; 01-peticao-inicial.pdf, p. 3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O questionário marca que há estudos de evidência científica, mas deixa em branco qual seria, e responde de forma genérica ('grau de eficácia e respaldo científico'). A inicial invoca a medicina baseada em evidências sem juntar estudo. Não há ensaio clínico randomizado, revisão sistemática nem meta-análise nos autos, falta que a análise médica do Estado aponta (06-negativa-administrativa.pdf, p. 3).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(e) Imprescindibilidade clínica, com laudo fundamentado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C98A0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C98A0B"/>
                <w:sz w:val="19"/>
              </w:rPr>
              <w:t>Alegado, não comprovado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02-laudo-medico.pdf, p. 1; 04-questionario-medico.pdf, p. 2; 08-nota-tecnica-natjus.pdf, p. 1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O laudo descreve o diagnóstico, a gravidade e o risco de descompensação, mas não descreve os tratamentos já feitos, com períodos e respostas. O questionário só cita a quetiapina com melhora parcial e 'antipsicóticos e ansiolíticos'. O NATJus registra que não foi apresentado histórico de tratamentos, e a análise do Estado aponta falta de relatório periódico e receita sem data (06-negativa-administrativa.pdf, p. 3; 03-receita.pdf, p. 1).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(f) Incapacidade financeira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5F7390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5F7390"/>
                <w:sz w:val="19"/>
              </w:rPr>
              <w:t>Dispensado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05-declaracao-hipossuficiencia.pdf, p. 1; 07-decisao-tutela.pdf, p. 1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A autora é assistida pela Defensoria Pública. Há declaração de hipossuficiência da curadora, sem comprovante de renda, e a gratuidade foi deferida.</w:t>
            </w:r>
          </w:p>
        </w:tc>
      </w:tr>
    </w:tbl>
    <w:p>
      <w:pPr>
        <w:spacing w:before="80"/>
      </w:pPr>
      <w:r>
        <w:rPr>
          <w:rFonts w:ascii="Georgia" w:hAnsi="Georgia" w:eastAsia="Georgia"/>
          <w:b w:val="0"/>
          <w:i w:val="0"/>
          <w:color w:val="2E7D5B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Atendido    </w:t>
      </w:r>
      <w:r>
        <w:rPr>
          <w:rFonts w:ascii="Georgia" w:hAnsi="Georgia" w:eastAsia="Georgia"/>
          <w:b w:val="0"/>
          <w:i w:val="0"/>
          <w:color w:val="C98A0B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Alegado, não comprovado    </w:t>
      </w:r>
      <w:r>
        <w:rPr>
          <w:rFonts w:ascii="Georgia" w:hAnsi="Georgia" w:eastAsia="Georgia"/>
          <w:b w:val="0"/>
          <w:i w:val="0"/>
          <w:color w:val="B3402F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Não encontrei nos autos    </w:t>
      </w:r>
      <w:r>
        <w:rPr>
          <w:rFonts w:ascii="Georgia" w:hAnsi="Georgia" w:eastAsia="Georgia"/>
          <w:b w:val="0"/>
          <w:i w:val="0"/>
          <w:color w:val="5F7390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Dispensado    </w:t>
      </w:r>
    </w:p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Tema 1234: competência</w:t>
      </w:r>
    </w:p>
    <w:tbl>
      <w:tblPr>
        <w:tblLook w:firstColumn="1" w:firstRow="1" w:lastColumn="0" w:lastRow="0" w:noHBand="0" w:noVBand="1" w:val="04A0"/>
        <w:tblW w:w="9355" w:type="dxa"/>
        <w:tblLayout w:type="fixed"/>
      </w:tblPr>
      <w:tblGrid>
        <w:gridCol w:w="4677"/>
        <w:gridCol w:w="4677"/>
      </w:tblGrid>
      <w:tr>
        <w:tc>
          <w:tcPr>
            <w:tcW w:type="dxa" w:w="3969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Valor anual do tratamento</w:t>
            </w:r>
          </w:p>
        </w:tc>
        <w:tc>
          <w:tcPr>
            <w:tcW w:type="dxa" w:w="5386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R$ 263,88 (12 caixas de 30 comprimidos pelo PMVG de R$ 21,99, alíquota de 17%)</w:t>
            </w:r>
          </w:p>
        </w:tc>
      </w:tr>
      <w:tr>
        <w:tc>
          <w:tcPr>
            <w:tcW w:type="dxa" w:w="3969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210 salários mínimos</w:t>
            </w:r>
          </w:p>
        </w:tc>
        <w:tc>
          <w:tcPr>
            <w:tcW w:type="dxa" w:w="5386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210 salários mínimos (conferir o valor vigente)</w:t>
            </w:r>
          </w:p>
        </w:tc>
      </w:tr>
      <w:tr>
        <w:tc>
          <w:tcPr>
            <w:tcW w:type="dxa" w:w="3969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Onde tramita</w:t>
            </w:r>
          </w:p>
        </w:tc>
        <w:tc>
          <w:tcPr>
            <w:tcW w:type="dxa" w:w="5386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conferir</w:t>
            </w:r>
          </w:p>
        </w:tc>
      </w:tr>
    </w:tbl>
    <w:p>
      <w:pPr>
        <w:spacing w:before="120"/>
      </w:pPr>
      <w:r>
        <w:rPr>
          <w:rFonts w:ascii="Georgia" w:hAnsi="Georgia" w:eastAsia="Georgia"/>
          <w:b w:val="0"/>
          <w:i/>
          <w:color w:val="666666"/>
          <w:sz w:val="18"/>
        </w:rPr>
        <w:t>Fato dos autos: o NATJus traz o PMVG de R$ 21,99 por caixa de 30 comprimidos, com alíquota de 17%, consultado em 03/03/2026 (08-nota-tecnica-natjus.pdf, p. 2); a posologia é de 1 comprimido por noite. A decisão não trata de competência e a ação corre na Justiça Estadual. O aluno deve conferir na lista CMED o PMVG na alíquota zero e o salário mínimo vigente; de todo modo, o medicamento está incorporado, e o item 1 do Tema 1234 fala de medicamentos não incorporados.</w:t>
      </w:r>
    </w:p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Pontos para conferência humana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Conferir se o caso é mesmo de Tema 6: a risperidona consta da RENAME, do CEAF Grupo 1B e da REMUME, e a recusa se funda no PCDT; ver o item 2.1 do Tema 1234 sobre o que conta como não incorporado.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Comparar a inicial com o laudo: a inicial diz que o médico defendeu a associação com a quetiapina, mas o laudo não menciona a quetiapina.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Divergências entre os documentos: a autorização estadual registra CID F31.5 com o pedido de rever o diagnóstico; o Estado indica responsabilidade estadual (CEAF) e o NATJus, municipal (REMUME); a resposta estadual traz a data 26/01/2025, anterior ao próprio pedido.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A decisão se apoia no laudo do CAPS e não cita a nota do NATJus; conferir nos autos a ordem em que os dois foram juntados.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Este relatório organiza a leitura; a decisão sobre a defesa é do procurador.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76" w:bottom="1247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54" w:val="right"/>
      </w:tabs>
    </w:pPr>
    <w:r>
      <w:rPr>
        <w:rFonts w:ascii="Georgia" w:hAnsi="Georgia" w:eastAsia="Georgia"/>
        <w:b w:val="0"/>
        <w:i w:val="0"/>
        <w:color w:val="666666"/>
        <w:sz w:val="17"/>
      </w:rPr>
      <w:t>Dias &amp; Moura Advocacia · documento fictício</w:t>
      <w:tab/>
      <w:tab/>
      <w:t xml:space="preserve">Página </w:t>
    </w:r>
    <w:r>
      <w:rPr>
        <w:rFonts w:ascii="Georgia" w:hAnsi="Georgia" w:eastAsia="Georgia"/>
        <w:b w:val="0"/>
        <w:i w:val="0"/>
        <w:color w:val="666666"/>
        <w:sz w:val="17"/>
      </w:rPr>
      <w:fldChar w:fldCharType="begin"/>
    </w:r>
    <w:r>
      <w:rPr>
        <w:rFonts w:ascii="Georgia" w:hAnsi="Georgia" w:eastAsia="Georgia"/>
        <w:b w:val="0"/>
        <w:i w:val="0"/>
        <w:color w:val="666666"/>
        <w:sz w:val="17"/>
      </w:rPr>
      <w:instrText xml:space="preserve">PAGE</w:instrText>
    </w:r>
    <w:r>
      <w:rPr>
        <w:rFonts w:ascii="Georgia" w:hAnsi="Georgia" w:eastAsia="Georgia"/>
        <w:b w:val="0"/>
        <w:i w:val="0"/>
        <w:color w:val="666666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54" w:val="right"/>
      </w:tabs>
      <w:pBdr>
        <w:bottom w:val="single" w:sz="6" w:space="6" w:color="B87548"/>
      </w:pBdr>
    </w:pPr>
    <w:r>
      <w:drawing>
        <wp:inline xmlns:a="http://schemas.openxmlformats.org/drawingml/2006/main" xmlns:pic="http://schemas.openxmlformats.org/drawingml/2006/picture">
          <wp:extent cx="1778400" cy="46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escritori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78400" cy="4680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Georgia" w:hAnsi="Georgia" w:eastAsia="Georgia"/>
        <w:b w:val="0"/>
        <w:i w:val="0"/>
        <w:color w:val="666666"/>
        <w:sz w:val="18"/>
      </w:rPr>
      <w:tab/>
      <w:tab/>
      <w:t>Documento de trabalho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88" w:lineRule="auto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