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 w:eastAsia="Georgia"/>
          <w:b/>
          <w:i w:val="0"/>
          <w:color w:val="064A45"/>
          <w:sz w:val="40"/>
        </w:rPr>
        <w:t>Relatório de conformidade</w:t>
      </w:r>
    </w:p>
    <w:p>
      <w:pPr>
        <w:spacing w:after="200"/>
        <w:pBdr>
          <w:bottom w:val="single" w:sz="8" w:space="8" w:color="B87548"/>
        </w:pBdr>
      </w:pPr>
      <w:r>
        <w:rPr>
          <w:rFonts w:ascii="Georgia" w:hAnsi="Georgia" w:eastAsia="Georgia"/>
          <w:b w:val="0"/>
          <w:i/>
          <w:color w:val="666666"/>
          <w:sz w:val="22"/>
        </w:rPr>
        <w:t>Temas 6 e 1234 do STF · fornecimento de Omalizumabe 300 mg, via subcutânea, a cada 4 semanas (urticária crônica espontânea, CID-10 L50.1)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Processo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0806842-39.2026.8.12.0099 (fictício)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Autor representado por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Advogado particular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Data da análise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24/10/2026</w:t>
            </w:r>
          </w:p>
        </w:tc>
      </w:tr>
    </w:tbl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Conclusão</w:t>
      </w:r>
    </w:p>
    <w:p>
      <w:pPr>
        <w:spacing w:after="80"/>
      </w:pPr>
      <w:r>
        <w:rPr>
          <w:rFonts w:ascii="Georgia" w:hAnsi="Georgia" w:eastAsia="Georgia"/>
          <w:b/>
          <w:i w:val="0"/>
          <w:sz w:val="22"/>
        </w:rPr>
        <w:t xml:space="preserve">O autor não cumpriu todos os requisitos do Tema 6. </w:t>
      </w:r>
      <w:r>
        <w:rPr>
          <w:rFonts w:ascii="Georgia" w:hAnsi="Georgia" w:eastAsia="Georgia"/>
          <w:b w:val="0"/>
          <w:i w:val="0"/>
          <w:sz w:val="22"/>
        </w:rPr>
        <w:t xml:space="preserve">Estão atendidos ou dispensados 2 de 6. </w:t>
      </w:r>
      <w:r>
        <w:rPr>
          <w:rFonts w:ascii="Georgia" w:hAnsi="Georgia" w:eastAsia="Georgia"/>
          <w:b w:val="0"/>
          <w:i w:val="0"/>
          <w:sz w:val="22"/>
        </w:rPr>
        <w:t>A autora só alega o pedido frustrado ao Município, sem ofício nem protocolo, e o NATJus registra que não há procura prévia da rede pública. O laudo invoca diretrizes e fala em evidências científicas sem citar ensaio clínico randomizado, revisão sistemática ou meta-análise, e só descreve o uso de um anti-histamínico. A inicial não trata da Conitec. A renda tem prova documental (declaração, CadÚnico e conta com tarifa social). A tutela foi indeferida e a decisão não tratou da competência.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6: requisitos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2338"/>
        <w:gridCol w:w="2338"/>
        <w:gridCol w:w="2338"/>
        <w:gridCol w:w="2338"/>
      </w:tblGrid>
      <w:tr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Requisito</w:t>
            </w:r>
          </w:p>
        </w:tc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Situação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Onde nos autos</w:t>
            </w:r>
          </w:p>
        </w:tc>
        <w:tc>
          <w:tcPr>
            <w:tcW w:type="dxa" w:w="3742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Observação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(a) Negativa na via administrativa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01-peticao-inicial.pdf, p. 2; 06-nota-tecnica-natjus.pdf, p. 2 e 3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inicial diz que o requerimento à Secretaria de Saúde do Município restou frustrado, mas não junta ofício, protocolo nem resposta. O NATJus registra que não consta nos autos atendimento ou procura prévia da rede pública local.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(b) Ilegalidade da não incorporação pela Conitec, ausência de pedido ou mora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B3402F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B3402F"/>
                <w:sz w:val="19"/>
              </w:rPr>
              <w:t>Não encontrei nos autos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Não encontrei na inicial; 06-nota-tecnica-natjus.pdf, p. 2 e 3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inicial não trata da Conitec nem dos arts. 19-Q e 19-R da Lei 8.080/1990. O único dado é do NATJus: não há em tramitação solicitação de avaliação do omalizumabe para a CID da autora, que só está incorporado no CEAF para asma (J45.0 e J45.8).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(c) Impossibilidade de substituição por medicamento do SUS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03-laudo-medico.pdf, p. 2; 06-nota-tecnica-natjus.pdf, p. 1 e 2; 07-decisao-tutela.pdf,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laudo afirma que não há alternativa com eficácia comparável, sem dizer quais opções do SUS foram tentadas ou por que não servem. O NATJus aponta anti-histamínicos e corticosteroides da RENAME e a ciclosporina A como terceira linha; a decisão diz que não há prova do uso e da ineficácia deles.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(d) Evidência de alto nível (ensaio randomizado ou revisão sistemática)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03-laudo-medico.pdf, p. 1 e 2; 06-nota-tecnica-natjus.pdf, p. 3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laudo cita diretrizes (EAACI/GA²LEN/EuroGuiDerm/APAAACI) e fala em comprovada eficácia e evidências científicas, mas não identifica nenhum ensaio clínico randomizado, revisão sistemática ou meta-análise. O NATJus diz que diretrizes não substituem essas evidências e que não foram apresentadas evidências robustas.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(e) Imprescindibilidade clínica, com laudo fundamentado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2E7D5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2E7D5B"/>
                <w:sz w:val="19"/>
              </w:rPr>
              <w:t>Atendido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03-laudo-medico.pdf, p. 1 e 2; 08-relatorio-medico-complementar.pdf, p. 1 e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laudo descreve o tratamento já feito (bilastina em dose quadruplicada por mais de 4 meses) e os escores UAS7 e UCT. Ponto fraco: só um fármaco anterior é descrito, e o NATJus anota que não há informação de outros tratamentos.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(f) Incapacidade financeira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2E7D5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2E7D5B"/>
                <w:sz w:val="19"/>
              </w:rPr>
              <w:t>Atendido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02-hipossuficiencia.pdf, p. 1 a 3; 01-peticao-inicial.pdf, p. 2; 07-decisao-tutela.pdf,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Advogado particular, com declaração de hipossuficiência, CadÚnico (renda per capita de R$ 810,00, faixa total entre meio e um salário mínimo) e conta de energia com tarifa social; gratuidade deferida. Incoerências: a inicial fala em convivente e renda de até 2 salários mínimos, o CadÚnico lista só a autora e um filho, e o extrato da aposentadoria citado na inicial não foi juntado.</w:t>
            </w:r>
          </w:p>
        </w:tc>
      </w:tr>
    </w:tbl>
    <w:p>
      <w:pPr>
        <w:spacing w:before="80"/>
      </w:pPr>
      <w:r>
        <w:rPr>
          <w:rFonts w:ascii="Georgia" w:hAnsi="Georgia" w:eastAsia="Georgia"/>
          <w:b w:val="0"/>
          <w:i w:val="0"/>
          <w:color w:val="2E7D5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Atendido    </w:t>
      </w:r>
      <w:r>
        <w:rPr>
          <w:rFonts w:ascii="Georgia" w:hAnsi="Georgia" w:eastAsia="Georgia"/>
          <w:b w:val="0"/>
          <w:i w:val="0"/>
          <w:color w:val="C98A0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Alegado, não comprovado    </w:t>
      </w:r>
      <w:r>
        <w:rPr>
          <w:rFonts w:ascii="Georgia" w:hAnsi="Georgia" w:eastAsia="Georgia"/>
          <w:b w:val="0"/>
          <w:i w:val="0"/>
          <w:color w:val="B3402F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Não encontrei nos autos    </w:t>
      </w:r>
      <w:r>
        <w:rPr>
          <w:rFonts w:ascii="Georgia" w:hAnsi="Georgia" w:eastAsia="Georgia"/>
          <w:b w:val="0"/>
          <w:i w:val="0"/>
          <w:color w:val="5F7390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Dispensado    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1234: competência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Valor anual do tratamento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Não consta nos autos. Pela conta com os preços de internet da inicial e da pesquisa juntada (R$ 5.500,00 a R$ 8.000,00 por seringa de 300 mg, 13 aplicações por ano): R$ 71.500,00 a R$ 104.000,00.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210 salários mínimos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210 salários mínimos (conferir o valor vigente)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Onde tramita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conferir</w:t>
            </w:r>
          </w:p>
        </w:tc>
      </w:tr>
    </w:tbl>
    <w:p>
      <w:pPr>
        <w:spacing w:before="120"/>
      </w:pPr>
      <w:r>
        <w:rPr>
          <w:rFonts w:ascii="Georgia" w:hAnsi="Georgia" w:eastAsia="Georgia"/>
          <w:b w:val="0"/>
          <w:i/>
          <w:color w:val="666666"/>
          <w:sz w:val="18"/>
        </w:rPr>
        <w:t>Fato dos autos: preços de internet sem orçamento (01-peticao-inicial.pdf, p. 1; 05-pesquisa-de-preco.pdf, p. 1), valor da causa de R$ 44.000,00 e um único PMVG no NATJus (R$ 1.165,01, alíquota de 17%, apresentação de 150 mg/mL com 0,5 mL; 06-nota-tecnica-natjus.pdf, p. 3). A decisão não tratou da competência. Com o salário mínimo de R$ 1.621,00 citado na inicial, 210 salários dão R$ 340.410,00, bem acima da estimativa. O aluno deve conferir na lista CMED o PMVG de alíquota zero da apresentação que dá 300 mg e refazer o valor anual.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Pontos para conferência humana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A inicial pede 7 seringas na narrativa e 8 nos pedidos: conferir o quantitativo antes de calcular o valor anual.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O único PMVG dos autos é de 17% de ICMS e de uma seringa com 0,5 mL de 150 mg/mL (75 mg); conferir quantas unidades fazem 300 mg e usar a alíquota zero da CMED.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A decisão afirma que a paciente é atendida pela rede pública, mas o NATJus diz que não consta procura prévia da rede; conferir qual dado vale para o requisito (a).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O omalizumabe está no CEAF só para asma; pelo item 2.1 do Tema 1234, medicamento previsto em PCDT para outra finalidade conta como não incorporado.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A ausência de pedido de incorporação na Conitec aparece só no NATJus e a inicial não a invoca; a leitura do requisito (b) nesse ponto é do procurador.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76" w:bottom="124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</w:pPr>
    <w:r>
      <w:rPr>
        <w:rFonts w:ascii="Georgia" w:hAnsi="Georgia" w:eastAsia="Georgia"/>
        <w:b w:val="0"/>
        <w:i w:val="0"/>
        <w:color w:val="666666"/>
        <w:sz w:val="17"/>
      </w:rPr>
      <w:t>Dias &amp; Moura Advocacia · documento fictício</w:t>
      <w:tab/>
      <w:tab/>
      <w:t xml:space="preserve">Página </w:t>
    </w:r>
    <w:r>
      <w:rPr>
        <w:rFonts w:ascii="Georgia" w:hAnsi="Georgia" w:eastAsia="Georgia"/>
        <w:b w:val="0"/>
        <w:i w:val="0"/>
        <w:color w:val="666666"/>
        <w:sz w:val="17"/>
      </w:rPr>
      <w:fldChar w:fldCharType="begin"/>
    </w:r>
    <w:r>
      <w:rPr>
        <w:rFonts w:ascii="Georgia" w:hAnsi="Georgia" w:eastAsia="Georgia"/>
        <w:b w:val="0"/>
        <w:i w:val="0"/>
        <w:color w:val="666666"/>
        <w:sz w:val="17"/>
      </w:rPr>
      <w:instrText xml:space="preserve">PAGE</w:instrText>
    </w:r>
    <w:r>
      <w:rPr>
        <w:rFonts w:ascii="Georgia" w:hAnsi="Georgia" w:eastAsia="Georgia"/>
        <w:b w:val="0"/>
        <w:i w:val="0"/>
        <w:color w:val="666666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pBdr>
        <w:bottom w:val="single" w:sz="6" w:space="6" w:color="B87548"/>
      </w:pBdr>
    </w:pPr>
    <w:r>
      <w:drawing>
        <wp:inline xmlns:a="http://schemas.openxmlformats.org/drawingml/2006/main" xmlns:pic="http://schemas.openxmlformats.org/drawingml/2006/picture">
          <wp:extent cx="17784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scritor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84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Georgia" w:hAnsi="Georgia" w:eastAsia="Georgia"/>
        <w:b w:val="0"/>
        <w:i w:val="0"/>
        <w:color w:val="666666"/>
        <w:sz w:val="18"/>
      </w:rPr>
      <w:tab/>
      <w:tab/>
      <w:t>Documento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