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Austedo (deutetrabenazina) 6 mg, 9 mg e 12 mg, uso contínuo, para coreia na Doença de Huntington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0805173-90.2025.8.12.0099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Defensoria Pública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3 de 6. </w:t>
      </w:r>
      <w:r>
        <w:rPr>
          <w:rFonts w:ascii="Georgia" w:hAnsi="Georgia" w:eastAsia="Georgia"/>
          <w:b w:val="0"/>
          <w:i w:val="0"/>
          <w:sz w:val="22"/>
        </w:rPr>
        <w:t>A negativa administrativa está provada e a renda é dispensada pela Defensoria. Faltam os requisitos da Conitec (pedido de incorporação em análise e sem mora quando a tutela foi negada), da substituição (o NATJus aponta alternativas da RENAME e o questionário diz que elas não foram usadas) e da evidência de alto nível (o laudo só nomeia dois ensaios randomizados, sem juntá-los). O custo anual estimado nos autos passa de 210 salários mínimos, e o juízo estadual remeteu o caso à Justiça Federal.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04-negativa-administrativa.pdf, p. 1 e 3; 01-peticao-inicial.pdf,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Há declaração escrita do Município negando o fornecimento e resposta da SES ao CEJUSC Saúde concluindo que não é possível fornecer. A resposta da SES traz o número da reclamação pré-processual, diferente do número da ação judicial.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B3402F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B3402F"/>
                <w:sz w:val="19"/>
              </w:rPr>
              <w:t>Não encontrei nos autos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 na inicial; ver 05-nota-tecnica-natjus.pdf, p. 1 (item VII) e 06-decisao-tutela.pdf,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não trata da Conitec nem dos arts. 19-Q e 19-R. O NATJus e a decisão registram pedido de incorporação em análise, protocolado em 10/02/2025, e a decisão de 17/03/2025 afirma que não há mora. O NATJus diz no mesmo item que o fármaco não foi avaliado pela Conitec, o que convive mal com a avaliação em andamento.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03-questionario-receita-e-laudo.pdf, p. 1 e 3; 05-nota-tecnica-natjus.pdf, p. 2 (item IX)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afirma que não há substituto de eficácia comprovada no SUS, mas o NATJus lista amantadina, clorpromazina, haloperidol, olanzapina, risperidona, clozapina e quetiapina na RENAME 2024. O questionário marca que as alternativas do SUS não foram usadas, enquanto o laudo relata haloperidol, que é da RENAME, e fala em antipsicóticos atípicos sem nomear nenhum.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03-questionario-receita-e-laudo.pdf, p. 3; 04-negativa-administrativa.pdf,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nomeia os ensaios randomizados First-HD e ARC-HD e diz que há tradução juramentada, mas os estudos não estão nos autos e não há revisão sistemática nem meta-análise. A análise médica da SES registra que os ensaios exigiam eletrocardiograma sem QT prolongado, exame não apresentado, e conclui pela não comprovação.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03-questionario-receita-e-laudo.pdf, p. 3 e 4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descreve diagnóstico, evolução, tratamentos já feitos (haloperidol, fenobarbital, escitalopram) e resposta insatisfatória, e o exame genético confirma a doença. Ressalvas: o NATJus diz não ter visto exames complementares nem informação sobre tratamentos anteriores, e o questionário contradiz o laudo sobre o uso de alternativas do SUS.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5F7390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5F7390"/>
                <w:sz w:val="19"/>
              </w:rPr>
              <w:t>Dispensado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02-declaracao-hipossuficiencia-e-renda.pdf, p. 1 e 2; 01-peticao-inicial.pdf,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Autor representado pela Defensoria Pública. Ainda assim há declaração de hipossuficiência e carta do INSS com aposentadoria de R$ 1.302,00 mensais (só a página 1 de 6).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R$ 692.999,04 (estimativa do parecer técnico, 08-parecer-custos.pdf, p. 1)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Justiça Federal (07-decisao-incompetencia.pdf, p. 1)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Fatos dos autos: o NATJus traz o PMVG das caixas de 6, 9 e 12 mg pela alíquota de 17% de ICMS (05-nota-tecnica-natjus.pdf, p. 2); o parecer usa esses mesmos valores para 7 semanas de titulação mais 10 meses e meio de manutenção; a decisão de 16/01/2026 não faz a conta, apenas cita os preços por caixa e o uso contínuo, e remete o caso à Justiça Federal. O valor da causa (R$ 44.125,09) é o preço de uma caixa de 12 mg em farmácia e não serve para a competência. O aluno deve refazer a conta com o PMVG na alíquota zero da lista CMED, como manda o Tema 1234, e com o salário mínimo vigente.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Refazer o custo anual com o PMVG na alíquota zero da lista CMED, porque os preços dos autos são da alíquota de 17%.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Conitec a situação atual do pedido de incorporação da deutetrabenazina: o prazo de 180 mais 90 dias, que não tinha vencido na decisão da tutela, já pode ter vencido na data da análise.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se os artigos dos ensaios First-HD e ARC-HD foram juntados depois; nestes autos só há a menção no laudo e as referências citadas pela SES.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Registrar as incoerências entre inicial (médico da rede pública), questionário e NATJus (atendimento particular), e o pedido de tutela do item b, que fala em protetor solar e foi tratado pela juíza como erro material.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Este relatório organiza a leitura; a decisão sobre a defesa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