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Risperidona 2 mg comprimido (esquizofrenia paranoide, CID F20.0)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0899413-29.2026.8.12.0099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Defensoria Pública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2 de 6. </w:t>
      </w:r>
      <w:r>
        <w:rPr>
          <w:rFonts w:ascii="Georgia" w:hAnsi="Georgia" w:eastAsia="Georgia"/>
          <w:b w:val="0"/>
          <w:i w:val="0"/>
          <w:sz w:val="22"/>
        </w:rPr>
        <w:t>A negativa administrativa está provada (ofício ao Município, pedido no CEJUSC e recusa escrita do Estado). A risperidona já consta das listas do SUS (RENAME, CEAF Grupo 1B e REMUME), e a recusa se funda no PCDT, que recomenda um antipsicótico por vez, porque a autora já usa quetiapina. Não há ensaio clínico randomizado, revisão sistemática nem meta-análise; a insubstituibilidade e o histórico de tratamento são afirmados sem fundamentação. A renda fica dispensada pela assistência da Defensoria. A tutela foi deferida.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06-negativa-administrativa.pdf, p. 1 a 4; 01-peticao-inicial.pdf,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Ofício nº 87/2026 ao Município, com comprovante de envio em 19/01/2026 (p. 1), sem resposta do Município nos autos antes da inicial. Pedido no CEJUSC-TJ/Saúde recebido em 19/01/2026 (p. 2). O Estado respondeu por escrito que não é possível fornecer o medicamento (p. 3), e a certidão de 11/02/2026 registra que o ente não atendeu a providência (p. 4).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B3402F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B3402F"/>
                <w:sz w:val="19"/>
              </w:rPr>
              <w:t>Não encontrei nos autos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Ninguém nos autos trata de Conitec, de pedido de incorporação ou dos prazos dos arts. 19-Q e 19-R. O próprio Estado afirma que a risperidona está incorporada e integra o Grupo 1B do CEAF (06-negativa-administrativa.pdf, p. 3), e o NATJus a aponta na REMUME (08-nota-tecnica-natjus.pdf, p. 1). A controvérsia é de enquadramento no PCDT, não de incorporação.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02-laudo-medico.pdf, p. 1; 04-questionario-medico.pdf, p. 2; 01-peticao-inicial.pdf,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diz que a risperidona é insubstituível no momento, sem explicar por quê, e não menciona a quetiapina. O questionário marca que não há substituto, mas informa que a quetiapina, alternativa do SUS, está em uso com melhora parcial. A inicial atribui ao médico a afirmação de que a associação das duas é necessária, o que o laudo transcrito não diz. O PCDT citado pelo Estado e pelo NATJus recomenda monoterapia.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04-questionario-medico.pdf, p. 1 e 2; 01-peticao-inicial.pdf, p.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questionário marca que há estudos de evidência científica, mas deixa em branco qual seria, e responde de forma genérica ('grau de eficácia e respaldo científico'). A inicial invoca a medicina baseada em evidências sem juntar estudo. Não há ensaio clínico randomizado, revisão sistemática nem meta-análise nos autos, falta que a análise médica do Estado aponta (06-negativa-administrativa.pdf, p. 3).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02-laudo-medico.pdf, p. 1; 04-questionario-medico.pdf, p. 2; 08-nota-tecnica-natjus.pdf,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descreve o diagnóstico, a gravidade e o risco de descompensação, mas não descreve os tratamentos já feitos, com períodos e respostas. O questionário só cita a quetiapina com melhora parcial e 'antipsicóticos e ansiolíticos'. O NATJus registra que não foi apresentado histórico de tratamentos, e a análise do Estado aponta falta de relatório periódico e receita sem data (06-negativa-administrativa.pdf, p. 3; 03-receita.pdf, p. 1).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5F7390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5F7390"/>
                <w:sz w:val="19"/>
              </w:rPr>
              <w:t>Dispensado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05-declaracao-hipossuficiencia.pdf, p. 1; 07-decisao-tutela.pdf,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autora é assistida pela Defensoria Pública. Há declaração de hipossuficiência da curadora, sem comprovante de renda, e a gratuidade foi deferida.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R$ 263,88 (12 caixas de 30 comprimidos pelo PMVG de R$ 21,99, alíquota de 17%)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conferir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 dos autos: o NATJus traz o PMVG de R$ 21,99 por caixa de 30 comprimidos, com alíquota de 17%, consultado em 03/03/2026 (08-nota-tecnica-natjus.pdf, p. 2); a posologia é de 1 comprimido por noite. A decisão não trata de competência e a ação corre na Justiça Estadual. O aluno deve conferir na lista CMED o PMVG na alíquota zero e o salário mínimo vigente; de todo modo, o medicamento está incorporado, e o item 1 do Tema 1234 fala de medicamentos não incorporados.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se o caso é mesmo de Tema 6: a risperidona consta da RENAME, do CEAF Grupo 1B e da REMUME, e a recusa se funda no PCDT; ver o item 2.1 do Tema 1234 sobre o que conta como não incorporado.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Comparar a inicial com o laudo: a inicial diz que o médico defendeu a associação com a quetiapina, mas o laudo não menciona a quetiapina.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Divergências entre os documentos: a autorização estadual registra CID F31.5 com o pedido de rever o diagnóstico; o Estado indica responsabilidade estadual (CEAF) e o NATJus, municipal (REMUME); a resposta estadual traz a data 26/01/2025, anterior ao próprio pedido.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A decisão se apoia no laudo do CAPS e não cita a nota do NATJus; conferir nos autos a ordem em que os dois foram juntados.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Este relatório organiza a leitura; a decisão sobre a defesa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