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Georgia" w:hAnsi="Georgia" w:eastAsia="Georgia"/>
          <w:b/>
          <w:i w:val="0"/>
          <w:color w:val="064A45"/>
          <w:sz w:val="40"/>
        </w:rPr>
        <w:t>Relatório de conformidade</w:t>
      </w:r>
    </w:p>
    <w:p>
      <w:pPr>
        <w:spacing w:after="200"/>
        <w:pBdr>
          <w:bottom w:val="single" w:sz="8" w:space="8" w:color="B87548"/>
        </w:pBdr>
      </w:pPr>
      <w:r>
        <w:rPr>
          <w:rFonts w:ascii="Georgia" w:hAnsi="Georgia" w:eastAsia="Georgia"/>
          <w:b w:val="0"/>
          <w:i/>
          <w:color w:val="666666"/>
          <w:sz w:val="22"/>
        </w:rPr>
        <w:t>Temas 6 e 1234 do STF · fornecimento de Semaglutida (Ozempic) 1 mg, uso subcutâneo semanal</w:t>
      </w: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4677"/>
        <w:gridCol w:w="4677"/>
      </w:tblGrid>
      <w:tr>
        <w:tc>
          <w:tcPr>
            <w:tcW w:type="dxa" w:w="2835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Processo</w:t>
            </w:r>
          </w:p>
        </w:tc>
        <w:tc>
          <w:tcPr>
            <w:tcW w:type="dxa" w:w="6520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0999904-04.2026.8.12.0999 (fictício)</w:t>
            </w:r>
          </w:p>
        </w:tc>
      </w:tr>
      <w:tr>
        <w:tc>
          <w:tcPr>
            <w:tcW w:type="dxa" w:w="2835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Autor representado por</w:t>
            </w:r>
          </w:p>
        </w:tc>
        <w:tc>
          <w:tcPr>
            <w:tcW w:type="dxa" w:w="6520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Advogado particular</w:t>
            </w:r>
          </w:p>
        </w:tc>
      </w:tr>
      <w:tr>
        <w:tc>
          <w:tcPr>
            <w:tcW w:type="dxa" w:w="2835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Data da análise</w:t>
            </w:r>
          </w:p>
        </w:tc>
        <w:tc>
          <w:tcPr>
            <w:tcW w:type="dxa" w:w="6520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24/10/2026</w:t>
            </w:r>
          </w:p>
        </w:tc>
      </w:tr>
    </w:tbl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Conclusão</w:t>
      </w:r>
    </w:p>
    <w:p>
      <w:pPr>
        <w:spacing w:after="80"/>
      </w:pPr>
      <w:r>
        <w:rPr>
          <w:rFonts w:ascii="Georgia" w:hAnsi="Georgia" w:eastAsia="Georgia"/>
          <w:b/>
          <w:i w:val="0"/>
          <w:sz w:val="22"/>
        </w:rPr>
        <w:t xml:space="preserve">O autor não cumpriu todos os requisitos do Tema 6. </w:t>
      </w:r>
      <w:r>
        <w:rPr>
          <w:rFonts w:ascii="Georgia" w:hAnsi="Georgia" w:eastAsia="Georgia"/>
          <w:b w:val="0"/>
          <w:i w:val="0"/>
          <w:sz w:val="22"/>
        </w:rPr>
        <w:t xml:space="preserve">Estão atendidos ou dispensados 3 de 6. </w:t>
      </w:r>
      <w:r>
        <w:rPr>
          <w:rFonts w:ascii="Georgia" w:hAnsi="Georgia" w:eastAsia="Georgia"/>
          <w:b w:val="0"/>
          <w:i w:val="0"/>
          <w:sz w:val="22"/>
        </w:rPr>
        <w:t>Caso bem instruído, mas que não cumpre todos os requisitos. A negativa administrativa e a incapacidade financeira estão provadas e o laudo é fundamentado. Faltam a discussão sobre a Conitec, a prova de que as alternativas do SUS não servem (só a insulina regular foi afastada) e a evidência de alto nível (o laudo só cita o nome de um estudo, sem juntá-lo).</w:t>
      </w:r>
    </w:p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Tema 6: requisitos</w:t>
      </w: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2338"/>
        <w:gridCol w:w="2338"/>
        <w:gridCol w:w="2338"/>
        <w:gridCol w:w="2338"/>
      </w:tblGrid>
      <w:tr>
        <w:tc>
          <w:tcPr>
            <w:tcW w:type="dxa" w:w="2098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Requisito</w:t>
            </w:r>
          </w:p>
        </w:tc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Situação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Onde nos autos</w:t>
            </w:r>
          </w:p>
        </w:tc>
        <w:tc>
          <w:tcPr>
            <w:tcW w:type="dxa" w:w="3742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Observação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(a) Negativa na via administrativa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2E7D5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2E7D5B"/>
                <w:sz w:val="19"/>
              </w:rPr>
              <w:t>Atendido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05-negativa-administrativa.pdf, p. 1 a 3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O Município negou a semaglutida 1 mg por ofício e por e-mail ao CEJUSC Saúde; o Estado respondeu que não pode fornecer; a certidão do CEJUSC registra que o ente não atendeu. Ressalva: a resposta do Estado fala em semaglutida 2,4 mg, embora a análise médica anexa trate do Ozempic 1 mg e a ação peça 1 mg.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(b) Ilegalidade da não incorporação pela Conitec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B3402F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B3402F"/>
                <w:sz w:val="19"/>
              </w:rPr>
              <w:t>Não encontrei nos autos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Não encontrei na inicial; 07-nota-tecnica-natjus.pdf, p. 2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A inicial não trata da Conitec nem dos arts. 19-Q e 19-R. Só o NATJus informa que não há pedido de avaliação da semaglutida em tramitação para essa doença; a autora não argumenta nada a partir disso.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(c) Impossibilidade de substituição por medicamento do SUS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C98A0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C98A0B"/>
                <w:sz w:val="19"/>
              </w:rPr>
              <w:t>Alegado, não comprovado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01-peticao-inicial.pdf, p. 1; 02-laudo-medico.pdf, p. 1; 07-nota-tecnica-natjus.pdf, p. 1 e 2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A inicial diz que o tratamento com insulina foi suspenso, mas o laudo mostra que só a insulina regular foi suspensa e que a autora segue com insulina NPH e metformina. Nada se diz sobre dapagliflozina, glibenclamida e gliclazida, que o PCDT oferece segundo o NATJus.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(d) Evidência de alto nível (ensaio randomizado ou revisão sistemática)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C98A0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C98A0B"/>
                <w:sz w:val="19"/>
              </w:rPr>
              <w:t>Alegado, não comprovado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02-laudo-medico.pdf, p. 1; 05-negativa-administrativa.pdf, p. 2; 07-nota-tecnica-natjus.pdf, p. 2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O laudo apenas menciona o estudo SUSTAIN-6 e diretrizes de sociedades médicas, sem juntar estudo, revisão sistemática ou meta-análise. A análise da SES examinou o estudo SELECT e concluiu que a paciente não se enquadra nele; o NATJus diz que não foram apresentadas evidências robustas.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(e) Imprescindibilidade clínica, com laudo fundamentado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2E7D5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2E7D5B"/>
                <w:sz w:val="19"/>
              </w:rPr>
              <w:t>Atendido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02-laudo-medico.pdf, p. 1; 03-receitas.pdf, p. 1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O laudo descreve a história da doença, o tratamento atual, exames, IMC e a justificativa. Pontos fracos: não examina as alternativas orais do PCDT e a receita da semaglutida não tem data. O NATJus diz que não vieram exames, mas o laudo transcreve exames.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(f) Incapacidade financeira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2E7D5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2E7D5B"/>
                <w:sz w:val="19"/>
              </w:rPr>
              <w:t>Atendido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01-peticao-inicial.pdf, p. 1 e 2; 04-renda-e-despesas.pdf, p. 1 e 2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Advogado particular, com declaração de pobreza, oito demonstrativos de pagamento (líquido de R$ 3.355,01 a R$ 3.711,08, bruto de R$ 5.795,39, reduzido por consignações) e comprovantes de despesas. Não há decisão sobre a gratuidade.</w:t>
            </w:r>
          </w:p>
        </w:tc>
      </w:tr>
    </w:tbl>
    <w:p>
      <w:pPr>
        <w:spacing w:before="80"/>
      </w:pPr>
      <w:r>
        <w:rPr>
          <w:rFonts w:ascii="Georgia" w:hAnsi="Georgia" w:eastAsia="Georgia"/>
          <w:b w:val="0"/>
          <w:i w:val="0"/>
          <w:color w:val="2E7D5B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Atendido    </w:t>
      </w:r>
      <w:r>
        <w:rPr>
          <w:rFonts w:ascii="Georgia" w:hAnsi="Georgia" w:eastAsia="Georgia"/>
          <w:b w:val="0"/>
          <w:i w:val="0"/>
          <w:color w:val="C98A0B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Alegado, não comprovado    </w:t>
      </w:r>
      <w:r>
        <w:rPr>
          <w:rFonts w:ascii="Georgia" w:hAnsi="Georgia" w:eastAsia="Georgia"/>
          <w:b w:val="0"/>
          <w:i w:val="0"/>
          <w:color w:val="B3402F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Não encontrei nos autos    </w:t>
      </w:r>
      <w:r>
        <w:rPr>
          <w:rFonts w:ascii="Georgia" w:hAnsi="Georgia" w:eastAsia="Georgia"/>
          <w:b w:val="0"/>
          <w:i w:val="0"/>
          <w:color w:val="5F7390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Dispensado    </w:t>
      </w:r>
    </w:p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Tema 1234: competência</w:t>
      </w: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4677"/>
        <w:gridCol w:w="4677"/>
      </w:tblGrid>
      <w:tr>
        <w:tc>
          <w:tcPr>
            <w:tcW w:type="dxa" w:w="3969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Valor anual do tratamento</w:t>
            </w:r>
          </w:p>
        </w:tc>
        <w:tc>
          <w:tcPr>
            <w:tcW w:type="dxa" w:w="5386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Não calculado nos autos. A inicial fala em R$ 1.000,00 por caneta de uso semanal e, depois, em R$ 1.000,00 mensais; o valor da causa é R$ 12.000,00. O NATJus informa PMVG de R$ 759,59 por apresentação (doses de 1 mg), com alíquota de 17%.</w:t>
            </w:r>
          </w:p>
        </w:tc>
      </w:tr>
      <w:tr>
        <w:tc>
          <w:tcPr>
            <w:tcW w:type="dxa" w:w="3969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210 salários mínimos</w:t>
            </w:r>
          </w:p>
        </w:tc>
        <w:tc>
          <w:tcPr>
            <w:tcW w:type="dxa" w:w="5386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210 salários mínimos (conferir o valor vigente)</w:t>
            </w:r>
          </w:p>
        </w:tc>
      </w:tr>
      <w:tr>
        <w:tc>
          <w:tcPr>
            <w:tcW w:type="dxa" w:w="3969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Onde tramita</w:t>
            </w:r>
          </w:p>
        </w:tc>
        <w:tc>
          <w:tcPr>
            <w:tcW w:type="dxa" w:w="5386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Justiça Estadual: os autos foram remetidos à 1ª Vara do Juizado Especial da Saúde porque o valor da causa fica abaixo de 60 salários mínimos; nenhuma decisão examinou o Tema 1234</w:t>
            </w:r>
          </w:p>
        </w:tc>
      </w:tr>
    </w:tbl>
    <w:p>
      <w:pPr>
        <w:spacing w:before="120"/>
      </w:pPr>
      <w:r>
        <w:rPr>
          <w:rFonts w:ascii="Georgia" w:hAnsi="Georgia" w:eastAsia="Georgia"/>
          <w:b w:val="0"/>
          <w:i/>
          <w:color w:val="666666"/>
          <w:sz w:val="18"/>
        </w:rPr>
        <w:t>Fato dos autos: os preços do NATJus e da inicial, o valor da causa e as decisões de competência. O aluno deve conferir na lista CMED o PMVG com alíquota zero (o NATJus usou 17%), quantas canetas o tratamento anual exige e o salário mínimo vigente. Com qualquer cálculo razoável o valor fica muito abaixo de 210 salários mínimos.</w:t>
      </w:r>
    </w:p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Pontos para conferência humana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Conferir a divergência de dose: o Estado respondeu sobre semaglutida 2,4 mg, enquanto a receita e a ação pedem 1 mg.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Conferir na lista da Conitec se existe pedido de incorporação da semaglutida para diabetes tipo 2, e nas listas RENAME, RESME e REMUME, na data da análise.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Conferir o custo: a inicial é incoerente (R$ 1.000,00 por caneta semanal e R$ 1.000,00 mensais) e o NATJus usou PMVG com alíquota de 17%.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Conferir se há decisão posterior sobre a tutela de urgência e a gratuidade, que não constam dos autos.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Este relatório organiza a leitura; a decisão sobre a defesa é do procurador.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276" w:bottom="124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</w:pPr>
    <w:r>
      <w:rPr>
        <w:rFonts w:ascii="Georgia" w:hAnsi="Georgia" w:eastAsia="Georgia"/>
        <w:b w:val="0"/>
        <w:i w:val="0"/>
        <w:color w:val="666666"/>
        <w:sz w:val="17"/>
      </w:rPr>
      <w:t>Dias &amp; Moura Advocacia · documento fictício</w:t>
      <w:tab/>
      <w:tab/>
      <w:t xml:space="preserve">Página </w:t>
    </w:r>
    <w:r>
      <w:rPr>
        <w:rFonts w:ascii="Georgia" w:hAnsi="Georgia" w:eastAsia="Georgia"/>
        <w:b w:val="0"/>
        <w:i w:val="0"/>
        <w:color w:val="666666"/>
        <w:sz w:val="17"/>
      </w:rPr>
      <w:fldChar w:fldCharType="begin"/>
    </w:r>
    <w:r>
      <w:rPr>
        <w:rFonts w:ascii="Georgia" w:hAnsi="Georgia" w:eastAsia="Georgia"/>
        <w:b w:val="0"/>
        <w:i w:val="0"/>
        <w:color w:val="666666"/>
        <w:sz w:val="17"/>
      </w:rPr>
      <w:instrText xml:space="preserve">PAGE</w:instrText>
    </w:r>
    <w:r>
      <w:rPr>
        <w:rFonts w:ascii="Georgia" w:hAnsi="Georgia" w:eastAsia="Georgia"/>
        <w:b w:val="0"/>
        <w:i w:val="0"/>
        <w:color w:val="666666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  <w:pBdr>
        <w:bottom w:val="single" w:sz="6" w:space="6" w:color="B87548"/>
      </w:pBdr>
    </w:pPr>
    <w:r>
      <w:drawing>
        <wp:inline xmlns:a="http://schemas.openxmlformats.org/drawingml/2006/main" xmlns:pic="http://schemas.openxmlformats.org/drawingml/2006/picture">
          <wp:extent cx="17784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escritori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84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Georgia" w:hAnsi="Georgia" w:eastAsia="Georgia"/>
        <w:b w:val="0"/>
        <w:i w:val="0"/>
        <w:color w:val="666666"/>
        <w:sz w:val="18"/>
      </w:rPr>
      <w:tab/>
      <w:tab/>
      <w:t>Documento de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8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