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 w:eastAsia="Georgia"/>
          <w:b/>
          <w:i w:val="0"/>
          <w:color w:val="064A45"/>
          <w:sz w:val="40"/>
        </w:rPr>
        <w:t>Relatório de conformidade</w:t>
      </w:r>
    </w:p>
    <w:p>
      <w:pPr>
        <w:spacing w:after="200"/>
        <w:pBdr>
          <w:bottom w:val="single" w:sz="8" w:space="8" w:color="B87548"/>
        </w:pBdr>
      </w:pPr>
      <w:r>
        <w:rPr>
          <w:rFonts w:ascii="Georgia" w:hAnsi="Georgia" w:eastAsia="Georgia"/>
          <w:b w:val="0"/>
          <w:i/>
          <w:color w:val="666666"/>
          <w:sz w:val="22"/>
        </w:rPr>
        <w:t>Temas 6 e 1234 do STF · fornecimento de Cloridrato de atomoxetina 40 mg (Atentah), para TDAH, CID F90.2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Processo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0804417-39.2026.8.12.0099 (fictício)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Autor representado por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Defensoria Pública</w:t>
            </w:r>
          </w:p>
        </w:tc>
      </w:tr>
      <w:tr>
        <w:tc>
          <w:tcPr>
            <w:tcW w:type="dxa" w:w="2835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Data da análise</w:t>
            </w:r>
          </w:p>
        </w:tc>
        <w:tc>
          <w:tcPr>
            <w:tcW w:type="dxa" w:w="6520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24/10/2026</w:t>
            </w:r>
          </w:p>
        </w:tc>
      </w:tr>
    </w:tbl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Conclusão</w:t>
      </w:r>
    </w:p>
    <w:p>
      <w:pPr>
        <w:spacing w:after="80"/>
      </w:pPr>
      <w:r>
        <w:rPr>
          <w:rFonts w:ascii="Georgia" w:hAnsi="Georgia" w:eastAsia="Georgia"/>
          <w:b/>
          <w:i w:val="0"/>
          <w:sz w:val="22"/>
        </w:rPr>
        <w:t xml:space="preserve">O autor não cumpriu todos os requisitos do Tema 6. </w:t>
      </w:r>
      <w:r>
        <w:rPr>
          <w:rFonts w:ascii="Georgia" w:hAnsi="Georgia" w:eastAsia="Georgia"/>
          <w:b w:val="0"/>
          <w:i w:val="0"/>
          <w:sz w:val="22"/>
        </w:rPr>
        <w:t xml:space="preserve">Estão atendidos ou dispensados 3 de 6. </w:t>
      </w:r>
      <w:r>
        <w:rPr>
          <w:rFonts w:ascii="Georgia" w:hAnsi="Georgia" w:eastAsia="Georgia"/>
          <w:b w:val="0"/>
          <w:i w:val="0"/>
          <w:sz w:val="22"/>
        </w:rPr>
        <w:t>A negativa administrativa está provada por ofício do Município, com datas que não batem entre si. Faltam a discussão sobre a Conitec, a demonstração de que nenhum medicamento do SUS serve e qualquer ensaio clínico randomizado, revisão sistemática ou meta-análise: o laudo diz apenas que estudos científicos demonstram o efeito. O laudo descreve o diagnóstico e o tratamento anterior. A incapacidade financeira é dispensada porque o autor é assistido pela Defensoria Pública.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6: requisitos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2338"/>
        <w:gridCol w:w="2338"/>
        <w:gridCol w:w="2338"/>
        <w:gridCol w:w="2338"/>
      </w:tblGrid>
      <w:tr>
        <w:tc>
          <w:tcPr>
            <w:tcW w:type="dxa" w:w="209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Requisito</w:t>
            </w:r>
          </w:p>
        </w:tc>
        <w:tc>
          <w:tcPr>
            <w:tcW w:type="dxa" w:w="1587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Situação</w:t>
            </w:r>
          </w:p>
        </w:tc>
        <w:tc>
          <w:tcPr>
            <w:tcW w:type="dxa" w:w="1928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Onde nos autos</w:t>
            </w:r>
          </w:p>
        </w:tc>
        <w:tc>
          <w:tcPr>
            <w:tcW w:type="dxa" w:w="3742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nil"/>
              <w:left w:val="nil"/>
              <w:bottom w:val="single" w:sz="10" w:color="064A45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color w:val="064A45"/>
                <w:sz w:val="18"/>
              </w:rPr>
              <w:t>Observação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(a) Negativa na via administrativa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05-pedido-e-negativa-administrativa.pdf, p. 1 e 2; 01-peticao-inicial.pdf,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Ofício nº 41/2026/SMS do Município de Santa Aurora nega o medicamento porque não está nos itens básicos da RENAME. Ressalvas: a negativa é só do Município, não do Estado; o ofício diz que o requerimento chegou em 04/04/2026, mas o requerimento juntado é de 10/05/2026, mesma data do ofício, e não tem protocolo nem carimbo de recebimento. Não houve CEJUSC.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(b) Ilegalidade da não incorporação pela Conitec, ausência de pedido ou mora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B3402F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B3402F"/>
                <w:sz w:val="19"/>
              </w:rPr>
              <w:t>Não encontrei nos autos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Não encontrei na inicial; ver 07-nota-tecnica-natjus.pdf,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inicial não trata da Conitec nem dos prazos dos arts. 19-Q e 19-R da Lei 8.080/1990. Só o NATJus registra que não há pedido de avaliação da atomoxetina em tramitação na Conitec; o autor não argumenta nada a partir disso.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(c) Impossibilidade de substituição por medicamento do SUS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04-laudo-defensoria.pdf, p. 1 e 2; 07-nota-tecnica-natjus.pdf, p. 2; 08-decisao-tutela.pdf,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 médica afirma, sem explicar, que não existe medicação do SUS que substitua a atomoxetina, e no mesmo formulário marca que o medicamento está previsto em PCDT. Relata uso anterior de carbamazepina e biperideno sem melhora, mas não discute o PCDT do TDAH nem os demais medicamentos da RENAME listados pelo NATJus. A decisão registra que há vários outros medicamentos no SUS para a doença.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(d) Evidência de alto nível (ensaio randomizado, revisão sistemática ou meta-análise)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C98A0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C98A0B"/>
                <w:sz w:val="19"/>
              </w:rPr>
              <w:t>Alegado, não comprovado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04-laudo-defensoria.pdf, p. 2; 07-nota-tecnica-natjus.pdf, p. 2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No campo próprio, a médica escreve apenas que estudos científicos têm demonstrado o efeito do medicamento, sem citar nem anexar estudo. O NATJus conclui que não foram apresentados ensaios clínicos randomizados, meta-análises ou revisões sistemáticas.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(e) Imprescindibilidade clínica, com laudo fundamentado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2E7D5B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2E7D5B"/>
                <w:sz w:val="19"/>
              </w:rPr>
              <w:t>Atendido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04-laudo-defensoria.pdf, p. 2 e 3; 02-relatorio-medico.pdf, p. 1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O laudo descreve sintomas, diagnóstico por neuropsicóloga, histórico de cerca de dois anos, tratamento anterior com carbamazepina e biperideno sem melhora e a justificativa de urgência. Ressalva: a fundamentação é sucinta e nenhum exame ou teste foi anexado, como anota o NATJus (07-nota-tecnica-natjus.pdf, p. 1).</w:t>
            </w:r>
          </w:p>
        </w:tc>
      </w:tr>
      <w:tr>
        <w:tc>
          <w:tcPr>
            <w:tcW w:type="dxa" w:w="209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(f) Incapacidade financeira</w:t>
            </w:r>
          </w:p>
        </w:tc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5F7390"/>
                <w:sz w:val="19"/>
              </w:rPr>
              <w:t xml:space="preserve">● </w:t>
            </w:r>
            <w:r>
              <w:rPr>
                <w:rFonts w:ascii="Georgia" w:hAnsi="Georgia" w:eastAsia="Georgia"/>
                <w:b/>
                <w:i w:val="0"/>
                <w:color w:val="5F7390"/>
                <w:sz w:val="19"/>
              </w:rPr>
              <w:t>Dispensado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06-hipossuficiencia-e-orcamentos.pdf, p. 1 a 3</w:t>
            </w:r>
          </w:p>
        </w:tc>
        <w:tc>
          <w:tcPr>
            <w:tcW w:type="dxa" w:w="3742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sz w:val="19"/>
              </w:rPr>
              <w:t>Autor assistido pela Defensoria Pública. Mesmo assim, há declaração de hipossuficiência da mãe e três contracheques, com líquidos de R$ 1.965,92, R$ 2.660,93 e R$ 1.988,14. A gratuidade foi deferida (08-decisao-tutela.pdf, p. 1).</w:t>
            </w:r>
          </w:p>
        </w:tc>
      </w:tr>
    </w:tbl>
    <w:p>
      <w:pPr>
        <w:spacing w:before="80"/>
      </w:pPr>
      <w:r>
        <w:rPr>
          <w:rFonts w:ascii="Georgia" w:hAnsi="Georgia" w:eastAsia="Georgia"/>
          <w:b w:val="0"/>
          <w:i w:val="0"/>
          <w:color w:val="2E7D5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Atendido    </w:t>
      </w:r>
      <w:r>
        <w:rPr>
          <w:rFonts w:ascii="Georgia" w:hAnsi="Georgia" w:eastAsia="Georgia"/>
          <w:b w:val="0"/>
          <w:i w:val="0"/>
          <w:color w:val="C98A0B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Alegado, não comprovado    </w:t>
      </w:r>
      <w:r>
        <w:rPr>
          <w:rFonts w:ascii="Georgia" w:hAnsi="Georgia" w:eastAsia="Georgia"/>
          <w:b w:val="0"/>
          <w:i w:val="0"/>
          <w:color w:val="B3402F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Não encontrei nos autos    </w:t>
      </w:r>
      <w:r>
        <w:rPr>
          <w:rFonts w:ascii="Georgia" w:hAnsi="Georgia" w:eastAsia="Georgia"/>
          <w:b w:val="0"/>
          <w:i w:val="0"/>
          <w:color w:val="5F7390"/>
          <w:sz w:val="16"/>
        </w:rPr>
        <w:t>●</w:t>
      </w:r>
      <w:r>
        <w:rPr>
          <w:rFonts w:ascii="Georgia" w:hAnsi="Georgia" w:eastAsia="Georgia"/>
          <w:b w:val="0"/>
          <w:i w:val="0"/>
          <w:color w:val="666666"/>
          <w:sz w:val="16"/>
        </w:rPr>
        <w:t xml:space="preserve"> Dispensado    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Tema 1234: competência</w:t>
      </w:r>
    </w:p>
    <w:tbl>
      <w:tblPr>
        <w:tblLook w:firstColumn="1" w:firstRow="1" w:lastColumn="0" w:lastRow="0" w:noHBand="0" w:noVBand="1" w:val="04A0"/>
        <w:tblW w:w="9355" w:type="dxa"/>
        <w:tblLayout w:type="fixed"/>
      </w:tblPr>
      <w:tblGrid>
        <w:gridCol w:w="4677"/>
        <w:gridCol w:w="4677"/>
      </w:tblGrid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Valor anual do tratamento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R$ 1.560,00 (12 caixas de 30 cápsulas a R$ 130,00, que é também o valor da causa); pelo PMVG informado pelo NATJus com alíquota de 17%, R$ 81,58 por caixa, cerca de R$ 978,96 por ano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210 salários mínimos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210 salários mínimos (conferir o valor vigente)</w:t>
            </w:r>
          </w:p>
        </w:tc>
      </w:tr>
      <w:tr>
        <w:tc>
          <w:tcPr>
            <w:tcW w:type="dxa" w:w="3969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 w:val="0"/>
                <w:i w:val="0"/>
                <w:color w:val="666666"/>
                <w:sz w:val="20"/>
              </w:rPr>
              <w:t>Onde tramita</w:t>
            </w:r>
          </w:p>
        </w:tc>
        <w:tc>
          <w:tcPr>
            <w:tcW w:type="dxa" w:w="5386"/>
            <w:tcMar>
              <w:top w:w="50" w:type="dxa"/>
              <w:start w:w="0" w:type="dxa"/>
              <w:bottom w:w="50" w:type="dxa"/>
              <w:end w:w="0" w:type="dxa"/>
            </w:tcMar>
            <w:tcBorders>
              <w:top w:val="nil"/>
              <w:left w:val="nil"/>
              <w:bottom w:val="single" w:sz="4" w:color="D9D9D9"/>
              <w:right w:val="nil"/>
            </w:tcBorders>
          </w:tcPr>
          <w:p>
            <w:r>
              <w:rPr>
                <w:rFonts w:ascii="Georgia" w:hAnsi="Georgia" w:eastAsia="Georgia"/>
                <w:b/>
                <w:i w:val="0"/>
                <w:sz w:val="21"/>
              </w:rPr>
              <w:t>conferir</w:t>
            </w:r>
          </w:p>
        </w:tc>
      </w:tr>
    </w:tbl>
    <w:p>
      <w:pPr>
        <w:spacing w:before="120"/>
      </w:pPr>
      <w:r>
        <w:rPr>
          <w:rFonts w:ascii="Georgia" w:hAnsi="Georgia" w:eastAsia="Georgia"/>
          <w:b w:val="0"/>
          <w:i/>
          <w:color w:val="666666"/>
          <w:sz w:val="18"/>
        </w:rPr>
        <w:t>Fatos dos autos: posologia de 1 cápsula ao dia (03-receita.pdf, p. 1), orçamentos de R$ 130,00 a R$ 135,97 por caixa (06-hipossuficiencia-e-orcamentos.pdf, p. 4), valor da causa de R$ 1.560,00 (01-peticao-inicial.pdf, p. 2) e preços CMED com alíquota de 17% (07-nota-tecnica-natjus.pdf, p. 2). A decisão não trata de competência; o processo seguiu na Justiça Estadual. O aluno deve conferir na lista CMED o PMVG com alíquota zero do menor preço do princípio ativo, multiplicar por 12 e comparar com 210 salários mínimos; o valor fica muito abaixo do limite, o que indica a Justiça Estadual.</w:t>
      </w:r>
    </w:p>
    <w:p>
      <w:pPr>
        <w:spacing w:before="360" w:after="120"/>
      </w:pPr>
      <w:r>
        <w:rPr>
          <w:rFonts w:ascii="Georgia" w:hAnsi="Georgia" w:eastAsia="Georgia"/>
          <w:b/>
          <w:i w:val="0"/>
          <w:color w:val="064A45"/>
          <w:sz w:val="24"/>
        </w:rPr>
        <w:t>Pontos para conferência humana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a divergência de datas entre o ofício (requerimento recebido em 04/04/2026) e o requerimento juntado (10/05/2026), que não tem protocolo.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A negativa juntada é só do Município; conferir se houve pedido ao Estado, que também é réu.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na Conitec se há pedido de avaliação da atomoxetina e, no PCDT do TDAH, o que o SUS oferece, porque o laudo marca previsão em PCDT e diz ao mesmo tempo que não há substituto.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Conferir na lista CMED o PMVG com alíquota zero e o salário mínimo vigente; os autos só trazem o preço com alíquota de 17%.</w:t>
      </w:r>
    </w:p>
    <w:p>
      <w:pPr>
        <w:spacing w:after="60"/>
        <w:ind w:left="283" w:hanging="283"/>
      </w:pPr>
      <w:r>
        <w:rPr>
          <w:rFonts w:ascii="Georgia" w:hAnsi="Georgia" w:eastAsia="Georgia"/>
          <w:b w:val="0"/>
          <w:i w:val="0"/>
          <w:sz w:val="20"/>
        </w:rPr>
        <w:t>–  Este relatório organiza a leitura; a decisão sobre a defesa é do procurador.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76" w:bottom="124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Georgia" w:hAnsi="Georgia" w:eastAsia="Georgia"/>
        <w:b w:val="0"/>
        <w:i w:val="0"/>
        <w:color w:val="666666"/>
        <w:sz w:val="17"/>
      </w:rPr>
      <w:t>Dias &amp; Moura Advocacia · documento fictício</w:t>
      <w:tab/>
      <w:tab/>
      <w:t xml:space="preserve">Página </w:t>
    </w:r>
    <w:r>
      <w:rPr>
        <w:rFonts w:ascii="Georgia" w:hAnsi="Georgia" w:eastAsia="Georgia"/>
        <w:b w:val="0"/>
        <w:i w:val="0"/>
        <w:color w:val="666666"/>
        <w:sz w:val="17"/>
      </w:rPr>
      <w:fldChar w:fldCharType="begin"/>
    </w:r>
    <w:r>
      <w:rPr>
        <w:rFonts w:ascii="Georgia" w:hAnsi="Georgia" w:eastAsia="Georgia"/>
        <w:b w:val="0"/>
        <w:i w:val="0"/>
        <w:color w:val="666666"/>
        <w:sz w:val="17"/>
      </w:rPr>
      <w:instrText xml:space="preserve">PAGE</w:instrText>
    </w:r>
    <w:r>
      <w:rPr>
        <w:rFonts w:ascii="Georgia" w:hAnsi="Georgia" w:eastAsia="Georgia"/>
        <w:b w:val="0"/>
        <w:i w:val="0"/>
        <w:color w:val="666666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6" w:space="6" w:color="B87548"/>
      </w:pBdr>
    </w:pPr>
    <w:r>
      <w:drawing>
        <wp:inline xmlns:a="http://schemas.openxmlformats.org/drawingml/2006/main" xmlns:pic="http://schemas.openxmlformats.org/drawingml/2006/picture">
          <wp:extent cx="17784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escritori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784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eorgia" w:hAnsi="Georgia" w:eastAsia="Georgia"/>
        <w:b w:val="0"/>
        <w:i w:val="0"/>
        <w:color w:val="666666"/>
        <w:sz w:val="18"/>
      </w:rPr>
      <w:tab/>
      <w:tab/>
      <w:t>Documento de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