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 w:eastAsia="Georgia"/>
          <w:b/>
          <w:i w:val="0"/>
          <w:color w:val="064A45"/>
          <w:sz w:val="40"/>
        </w:rPr>
        <w:t>Relatório de conformidade</w:t>
      </w:r>
    </w:p>
    <w:p>
      <w:pPr>
        <w:spacing w:after="200"/>
        <w:pBdr>
          <w:bottom w:val="single" w:sz="8" w:space="8" w:color="B87548"/>
        </w:pBdr>
      </w:pPr>
      <w:r>
        <w:rPr>
          <w:rFonts w:ascii="Georgia" w:hAnsi="Georgia" w:eastAsia="Georgia"/>
          <w:b w:val="0"/>
          <w:i/>
          <w:color w:val="666666"/>
          <w:sz w:val="22"/>
        </w:rPr>
        <w:t>Temas 6 e 1234 do STF · fornecimento de Ácido ursodesoxicólico 300 mg, 90 comprimidos por mês (colangite esclerosante primária, CID K83)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Processo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0809417-53.2025.8.12.0099 (fictício)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Autor representado por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Defensoria Pública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Data da análise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24/10/2026</w:t>
            </w:r>
          </w:p>
        </w:tc>
      </w:tr>
    </w:tbl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Conclusão</w:t>
      </w:r>
    </w:p>
    <w:p>
      <w:pPr>
        <w:spacing w:after="80"/>
      </w:pPr>
      <w:r>
        <w:rPr>
          <w:rFonts w:ascii="Georgia" w:hAnsi="Georgia" w:eastAsia="Georgia"/>
          <w:b/>
          <w:i w:val="0"/>
          <w:sz w:val="22"/>
        </w:rPr>
        <w:t xml:space="preserve">O autor não cumpriu todos os requisitos do Tema 6. </w:t>
      </w:r>
      <w:r>
        <w:rPr>
          <w:rFonts w:ascii="Georgia" w:hAnsi="Georgia" w:eastAsia="Georgia"/>
          <w:b w:val="0"/>
          <w:i w:val="0"/>
          <w:sz w:val="22"/>
        </w:rPr>
        <w:t xml:space="preserve">Estão atendidos ou dispensados 1 de 6. </w:t>
      </w:r>
      <w:r>
        <w:rPr>
          <w:rFonts w:ascii="Georgia" w:hAnsi="Georgia" w:eastAsia="Georgia"/>
          <w:b w:val="0"/>
          <w:i w:val="0"/>
          <w:sz w:val="22"/>
        </w:rPr>
        <w:t>Nenhum dos requisitos (a) a (e) está comprovado. A negativa é só um protocolo no CEJUSC sem resposta, que o juiz presumiu. O medicamento está incorporado ao SUS apenas para outra doença (colangite biliar primária, K74.3), e o próprio questionário médico traz esse CID. Não há ensaio clínico randomizado nem revisão sistemática, e nenhum laudo descreve tratamento anterior. A renda fica dispensada porque o autor é assistido pela Defensoria. A tutela foi indeferida.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6: requisitos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Requisito</w:t>
            </w:r>
          </w:p>
        </w:tc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Situação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Onde nos autos</w:t>
            </w:r>
          </w:p>
        </w:tc>
        <w:tc>
          <w:tcPr>
            <w:tcW w:type="dxa" w:w="374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Observação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(a) Negativa na via administrativa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01-peticao-inicial.pdf, p. 1 e 2; 05-protocolo-cejusc.pdf, p. 1; 07-nota-tecnica-natjus.pdf, p. 2; 08-decisao-tutela.pdf,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diz que a negativa está comprovada pelo protocolo no CEJUSC Saúde, mas o documento só mostra que o pedido foi cadastrado em 26/08/2025 e será encaminhado ao ente; não há resposta nem recusa. A ida à Farmácia Municipal é só alegada. O NATJus registra que não consta procura prévia da rede pública, e a decisão admite que não há documento da negativa e a presume.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(b) Ilegalidade da não incorporação pela Conitec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01-peticao-inicial.pdf, p. 2; 07-nota-tecnica-natjus.pdf,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afirma que a ilegalidade está em negar o único tratamento viável, sem tratar da Conitec nem dos prazos dos arts. 19-Q e 19-R. O NATJus informa que não há pedido de avaliação em tramitação para este CID, dado que a inicial não explora.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(c) Impossibilidade de substituição por medicamento do SUS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01-peticao-inicial.pdf, p. 1; 04-questionario-medico.pdf, p. 1 e 2; 07-nota-tecnica-natjus.pdf,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médico responde apenas 'Não' e 'Não possui' no questionário, sem justificar, e chega a marcar que o medicamento está previsto em PCDT. O NATJus aponta CPRE, coledocoplastia, prótese biliar e dilatação percutânea como alternativas oferecidas pelo SUS, e a decisão acolhe esse ponto.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(d) Evidência de alto nível (ensaio randomizado ou revisão sistemática)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01-peticao-inicial.pdf, p. 2 e 3 (nota 1); 04-questionario-medico.pdf, p. 1; 07-nota-tecnica-natjus.pdf, p. 3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remete a 'documentos anexos' e a um link de artigo de periódico, sem dizer que é ensaio randomizado ou revisão sistemática. Os laudos não citam estudo algum, e o campo de evidência científica do questionário ficou em branco. O NATJus conclui que não foram apresentadas evidências robustas.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(e) Imprescindibilidade clínica, com laudo fundamentado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02-laudo-medico.pdf, p. 1; 06-laudo-complementar.pdf, p. 1; 04-questionario-medico.pdf, p. 2; 07-nota-tecnica-natjus.pdf,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Os laudos afirmam que o medicamento é extremamente necessário para evitar cirrose, carcinoma e transplante, mas não descrevem tratamento já realizado; os campos 6.1, 6.2 e a justificativa do item 8 do questionário estão em branco, e o NATJus confirma a ausência. Há ainda a divergência de CID (K83 no laudo, K74.3 no questionário), só esclarecida pelo laudo complementar. Note que a inicial chama de 'Requisito e)' o que é a incapacidade financeira e não trata do requisito (e) propriamente dito.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(f) Incapacidade financeira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5F7390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5F7390"/>
                <w:sz w:val="19"/>
              </w:rPr>
              <w:t>Dispensado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01-peticao-inicial.pdf,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Autor assistido pela Defensoria Pública. A inicial trata o ponto sob o rótulo errado de 'Requisito e)', alegando avaliação financeira prévia da Defensoria e desemprego; não há comprovante de renda nos autos.</w:t>
            </w:r>
          </w:p>
        </w:tc>
      </w:tr>
    </w:tbl>
    <w:p>
      <w:pPr>
        <w:spacing w:before="80"/>
      </w:pPr>
      <w:r>
        <w:rPr>
          <w:rFonts w:ascii="Georgia" w:hAnsi="Georgia" w:eastAsia="Georgia"/>
          <w:b w:val="0"/>
          <w:i w:val="0"/>
          <w:color w:val="2E7D5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Atendido    </w:t>
      </w:r>
      <w:r>
        <w:rPr>
          <w:rFonts w:ascii="Georgia" w:hAnsi="Georgia" w:eastAsia="Georgia"/>
          <w:b w:val="0"/>
          <w:i w:val="0"/>
          <w:color w:val="C98A0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Alegado, não comprovado    </w:t>
      </w:r>
      <w:r>
        <w:rPr>
          <w:rFonts w:ascii="Georgia" w:hAnsi="Georgia" w:eastAsia="Georgia"/>
          <w:b w:val="0"/>
          <w:i w:val="0"/>
          <w:color w:val="B3402F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Não encontrei nos autos    </w:t>
      </w:r>
      <w:r>
        <w:rPr>
          <w:rFonts w:ascii="Georgia" w:hAnsi="Georgia" w:eastAsia="Georgia"/>
          <w:b w:val="0"/>
          <w:i w:val="0"/>
          <w:color w:val="5F7390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Dispensado    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1234: competência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Valor anual do tratamento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R$ 3.663,84 pelo PMVG (R$ 305,32 por caixa de 90 comprimidos, vezes 12) ou R$ 6.240,00 pelo orçamento de drogaria, segundo a inicial (01-peticao-inicial.pdf, p. 1 e 2)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210 salários mínimos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210 salários mínimos (conferir o valor vigente)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Onde tramita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conferir</w:t>
            </w:r>
          </w:p>
        </w:tc>
      </w:tr>
    </w:tbl>
    <w:p>
      <w:pPr>
        <w:spacing w:before="120"/>
      </w:pPr>
      <w:r>
        <w:rPr>
          <w:rFonts w:ascii="Georgia" w:hAnsi="Georgia" w:eastAsia="Georgia"/>
          <w:b w:val="0"/>
          <w:i/>
          <w:color w:val="666666"/>
          <w:sz w:val="18"/>
        </w:rPr>
        <w:t>Fato dos autos: a inicial calcula o custo anual em R$ 3.663,84 (PMVG) e R$ 6.240,00 (drogaria) e pede a Justiça Estadual; a Nota Técnica traz o PMVG de R$ 122,62 por caixa de 30 comprimidos, mas na alíquota de 17% (07-nota-tecnica-natjus.pdf, p. 2). A decisão não trata da competência e manda citar os réus. O aluno deve conferir na lista CMED o PMVG na alíquota zero e comparar com 210 salários mínimos; qualquer dos valores dos autos fica muito abaixo desse limite.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Pontos para conferência humana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no CEJUSC Saúde se houve resposta dos entes ao pedido de 26/08/2025; nos autos há só o protocolo e a senha.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a situação do ácido ursodesoxicólico na RENAME e no PCDT da colangite biliar primária (K74.3): para o CID do autor ele conta como não incorporado (Tema 1234, item 2.1).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na página da Conitec se há pedido de incorporação para colangite esclerosante primária, já que a inicial nada diz e o NATJus informa que não há.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na lista CMED o PMVG na alíquota zero; os valores dos autos usam outra base (inicial sem indicar a alíquota, NATJus com 17%).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Este relatório organiza a leitura; a decisão sobre a defesa é do procurador.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76" w:bottom="124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Georgia" w:hAnsi="Georgia" w:eastAsia="Georgia"/>
        <w:b w:val="0"/>
        <w:i w:val="0"/>
        <w:color w:val="666666"/>
        <w:sz w:val="17"/>
      </w:rPr>
      <w:t>Dias &amp; Moura Advocacia · documento fictício</w:t>
      <w:tab/>
      <w:tab/>
      <w:t xml:space="preserve">Página </w:t>
    </w:r>
    <w:r>
      <w:rPr>
        <w:rFonts w:ascii="Georgia" w:hAnsi="Georgia" w:eastAsia="Georgia"/>
        <w:b w:val="0"/>
        <w:i w:val="0"/>
        <w:color w:val="666666"/>
        <w:sz w:val="17"/>
      </w:rPr>
      <w:fldChar w:fldCharType="begin"/>
    </w:r>
    <w:r>
      <w:rPr>
        <w:rFonts w:ascii="Georgia" w:hAnsi="Georgia" w:eastAsia="Georgia"/>
        <w:b w:val="0"/>
        <w:i w:val="0"/>
        <w:color w:val="666666"/>
        <w:sz w:val="17"/>
      </w:rPr>
      <w:instrText xml:space="preserve">PAGE</w:instrText>
    </w:r>
    <w:r>
      <w:rPr>
        <w:rFonts w:ascii="Georgia" w:hAnsi="Georgia" w:eastAsia="Georgia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6" w:space="6" w:color="B87548"/>
      </w:pBdr>
    </w:pPr>
    <w:r>
      <w:drawing>
        <wp:inline xmlns:a="http://schemas.openxmlformats.org/drawingml/2006/main" xmlns:pic="http://schemas.openxmlformats.org/drawingml/2006/picture">
          <wp:extent cx="17784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4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b w:val="0"/>
        <w:i w:val="0"/>
        <w:color w:val="666666"/>
        <w:sz w:val="18"/>
      </w:rPr>
      <w:tab/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