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B4EA2"/>
          <w:sz w:val="40"/>
          <w:szCs w:val="40"/>
        </w:rPr>
        <w:t xml:space="preserve">Morby Ver1.0 — Pitch Brief</w:t>
      </w:r>
    </w:p>
    <w:p>
      <w:pPr>
        <w:spacing w:after="60"/>
        <w:jc w:val="center"/>
      </w:pPr>
      <w:r>
        <w:rPr>
          <w:color w:val="002F6C"/>
          <w:sz w:val="22"/>
          <w:szCs w:val="22"/>
        </w:rPr>
        <w:t xml:space="preserve">From a customer question to a disbursed loan — one automated, compliant flow</w:t>
      </w:r>
    </w:p>
    <w:p>
      <w:pPr>
        <w:spacing w:after="260"/>
        <w:jc w:val="center"/>
      </w:pPr>
      <w:r>
        <w:rPr>
          <w:i/>
          <w:iCs/>
          <w:color w:val="5A6573"/>
          <w:sz w:val="18"/>
          <w:szCs w:val="18"/>
        </w:rPr>
        <w:t xml:space="preserve">Morby Ver1.0 · the Bank Mortgage Buddy · Live POC on Cloudflare · Internal</w:t>
      </w:r>
    </w:p>
    <w:p>
      <w:pPr>
        <w:pStyle w:val="Heading1"/>
        <w:spacing w:before="300" w:after="110"/>
      </w:pPr>
      <w:r>
        <w:rPr>
          <w:b/>
          <w:bCs/>
          <w:color w:val="0B4EA2"/>
        </w:rPr>
        <w:t xml:space="preserve">The one-liner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</w:r>
      <w:r>
        <w:rPr>
          <w:b/>
          <w:bCs/>
          <w:sz w:val="22"/>
          <w:szCs w:val="22"/>
        </w:rPr>
        <w:t xml:space="preserve">Morby turns a WhatsApp-style chat into a scored, routed, SLA-tracked mortgage lead — and lets customers self-serve answers, simulations, and application status — while keeping sensitive eKTP data minimised and auditable.</w:t>
      </w:r>
      <w:r>
        <w:rPr>
          <w:b w:val="false"/>
          <w:bCs w:val="false"/>
          <w:sz w:val="22"/>
          <w:szCs w:val="22"/>
        </w:rPr>
      </w:r>
    </w:p>
    <w:p>
      <w:pPr>
        <w:spacing w:before="60" w:after="40"/>
        <w:jc w:val="center"/>
      </w:pPr>
      <w:r>
        <w:drawing>
          <wp:inline distT="0" distB="0" distL="0" distR="0">
            <wp:extent cx="5524500" cy="64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A6573"/>
          <w:sz w:val="17"/>
          <w:szCs w:val="17"/>
        </w:rPr>
        <w:t xml:space="preserve">The Morby funnel: chat → screening → CMS → sales pipeline → management BI</w:t>
      </w:r>
    </w:p>
    <w:p>
      <w:pPr>
        <w:pStyle w:val="Heading1"/>
        <w:spacing w:before="300" w:after="110"/>
      </w:pPr>
      <w:r>
        <w:rPr>
          <w:b/>
          <w:bCs/>
          <w:color w:val="0B4EA2"/>
        </w:rPr>
        <w:t xml:space="preserve">The problem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 w:val="false"/>
          <w:bCs w:val="false"/>
          <w:sz w:val="22"/>
          <w:szCs w:val="22"/>
        </w:rPr>
        <w:t xml:space="preserve">KPR sales teams drown in repetitive questions and manual, error-prone lead intake.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 w:val="false"/>
          <w:bCs w:val="false"/>
          <w:sz w:val="22"/>
          <w:szCs w:val="22"/>
        </w:rPr>
        <w:t xml:space="preserve">Leads go cold: no SLA, no single pipeline, no real-time visibility for management, no status for the customer.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 w:val="false"/>
          <w:bCs w:val="false"/>
          <w:sz w:val="22"/>
          <w:szCs w:val="22"/>
        </w:rPr>
        <w:t xml:space="preserve">eKTP/NIK handled by email/manual copies is a UU PDP / OJK exposure.</w:t>
      </w:r>
    </w:p>
    <w:p>
      <w:pPr>
        <w:pStyle w:val="Heading1"/>
        <w:spacing w:before="300" w:after="110"/>
      </w:pPr>
      <w:r>
        <w:rPr>
          <w:b/>
          <w:bCs/>
          <w:color w:val="0B4EA2"/>
        </w:rPr>
        <w:t xml:space="preserve">The solution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 w:val="false"/>
          <w:bCs w:val="false"/>
          <w:sz w:val="22"/>
          <w:szCs w:val="22"/>
        </w:rPr>
      </w:r>
      <w:r>
        <w:rPr>
          <w:b/>
          <w:bCs/>
          <w:sz w:val="22"/>
          <w:szCs w:val="22"/>
        </w:rPr>
        <w:t xml:space="preserve">A 24/7 AI assistant</w:t>
      </w:r>
      <w:r>
        <w:rPr>
          <w:b w:val="false"/>
          <w:bCs w:val="false"/>
          <w:sz w:val="22"/>
          <w:szCs w:val="22"/>
        </w:rPr>
        <w:t xml:space="preserve"> that answers (grounded on the Bank's own product facts — never invented numbers), simulates installments/cashback (with a downloadable non-binding PDF), and runs a guided prescreen + eKTP screening.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 w:val="false"/>
          <w:bCs w:val="false"/>
          <w:sz w:val="22"/>
          <w:szCs w:val="22"/>
        </w:rPr>
      </w:r>
      <w:r>
        <w:rPr>
          <w:b/>
          <w:bCs/>
          <w:sz w:val="22"/>
          <w:szCs w:val="22"/>
        </w:rPr>
        <w:t xml:space="preserve">An automatic CMS</w:t>
      </w:r>
      <w:r>
        <w:rPr>
          <w:b w:val="false"/>
          <w:bCs w:val="false"/>
          <w:sz w:val="22"/>
          <w:szCs w:val="22"/>
        </w:rPr>
        <w:t xml:space="preserve"> that deduplicates, scores (A+–D), routes to the right salesperson by region, and starts SLA timers — no human data entry.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 w:val="false"/>
          <w:bCs w:val="false"/>
          <w:sz w:val="22"/>
          <w:szCs w:val="22"/>
        </w:rPr>
      </w:r>
      <w:r>
        <w:rPr>
          <w:b/>
          <w:bCs/>
          <w:sz w:val="22"/>
          <w:szCs w:val="22"/>
        </w:rPr>
        <w:t xml:space="preserve">Role-based portals</w:t>
      </w:r>
      <w:r>
        <w:rPr>
          <w:b w:val="false"/>
          <w:bCs w:val="false"/>
          <w:sz w:val="22"/>
          <w:szCs w:val="22"/>
        </w:rPr>
        <w:t xml:space="preserve">: management sees a live BI dashboard and Customer-360 exports; each salesperson gets their own scoped pipeline with follow-up notes.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 w:val="false"/>
          <w:bCs w:val="false"/>
          <w:sz w:val="22"/>
          <w:szCs w:val="22"/>
        </w:rPr>
      </w:r>
      <w:r>
        <w:rPr>
          <w:b/>
          <w:bCs/>
          <w:sz w:val="22"/>
          <w:szCs w:val="22"/>
        </w:rPr>
        <w:t xml:space="preserve">Customer self-service</w:t>
      </w:r>
      <w:r>
        <w:rPr>
          <w:b w:val="false"/>
          <w:bCs w:val="false"/>
          <w:sz w:val="22"/>
          <w:szCs w:val="22"/>
        </w:rPr>
        <w:t xml:space="preserve">: a reference number lets applicants track status in chat.</w:t>
      </w:r>
    </w:p>
    <w:p>
      <w:pPr>
        <w:pStyle w:val="Heading1"/>
        <w:spacing w:before="300" w:after="110"/>
      </w:pPr>
      <w:r>
        <w:rPr>
          <w:b/>
          <w:bCs/>
          <w:color w:val="0B4EA2"/>
        </w:rPr>
        <w:t xml:space="preserve">Why it's different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0B4EA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</w:r>
          </w:p>
        </w:tc>
        <w:tc>
          <w:tcPr>
            <w:tcW w:type="pct" w:w="38%"/>
            <w:shd w:fill="0B4EA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Typical chatbot</w:t>
            </w:r>
          </w:p>
        </w:tc>
        <w:tc>
          <w:tcPr>
            <w:tcW w:type="pct" w:w="46%"/>
            <w:shd w:fill="0B4EA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Morby</w:t>
            </w:r>
          </w:p>
        </w:tc>
      </w:tr>
      <w:tr>
        <w:tc>
          <w:tcPr>
            <w:tcW w:type="pct" w:w="16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Numbers</w:t>
            </w:r>
          </w:p>
        </w:tc>
        <w:tc>
          <w:tcPr>
            <w:tcW w:type="pct" w:w="38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May hallucinate rates/fees</w:t>
            </w:r>
          </w:p>
        </w:tc>
        <w:tc>
          <w:tcPr>
            <w:tcW w:type="pct" w:w="46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Deterministic — every figure from one knowledge base</w:t>
            </w:r>
          </w:p>
        </w:tc>
      </w:tr>
      <w:tr>
        <w:tc>
          <w:tcPr>
            <w:tcW w:type="pct" w:w="16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Identity (eKTP)</w:t>
            </w:r>
          </w:p>
        </w:tc>
        <w:tc>
          <w:tcPr>
            <w:tcW w:type="pct" w:w="38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Stores the whole scan</w:t>
            </w:r>
          </w:p>
        </w:tc>
        <w:tc>
          <w:tcPr>
            <w:tcW w:type="pct" w:w="46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Stores extracted text + pas foto only (PDP data-minimisation)</w:t>
            </w:r>
          </w:p>
        </w:tc>
      </w:tr>
      <w:tr>
        <w:tc>
          <w:tcPr>
            <w:tcW w:type="pct" w:w="16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After the chat</w:t>
            </w:r>
          </w:p>
        </w:tc>
        <w:tc>
          <w:tcPr>
            <w:tcW w:type="pct" w:w="38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transcript to read</w:t>
            </w:r>
          </w:p>
        </w:tc>
        <w:tc>
          <w:tcPr>
            <w:tcW w:type="pct" w:w="46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scored, routed lead with SLA timers, in a CMS</w:t>
            </w:r>
          </w:p>
        </w:tc>
      </w:tr>
      <w:tr>
        <w:tc>
          <w:tcPr>
            <w:tcW w:type="pct" w:w="16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Governance</w:t>
            </w:r>
          </w:p>
        </w:tc>
        <w:tc>
          <w:tcPr>
            <w:tcW w:type="pct" w:w="38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Ad-hoc</w:t>
            </w:r>
          </w:p>
        </w:tc>
        <w:tc>
          <w:tcPr>
            <w:tcW w:type="pct" w:w="46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Role-scoped access + full audit log from day one</w:t>
            </w:r>
          </w:p>
        </w:tc>
      </w:tr>
      <w:tr>
        <w:tc>
          <w:tcPr>
            <w:tcW w:type="pct" w:w="16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Deployment</w:t>
            </w:r>
          </w:p>
        </w:tc>
        <w:tc>
          <w:tcPr>
            <w:tcW w:type="pct" w:w="38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Cloud lock-in</w:t>
            </w:r>
          </w:p>
        </w:tc>
        <w:tc>
          <w:tcPr>
            <w:tcW w:type="pct" w:w="46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Clear on-prem path with self-hosted AI (data sovereignty)</w:t>
            </w:r>
          </w:p>
        </w:tc>
      </w:tr>
    </w:tbl>
    <w:p>
      <w:pPr>
        <w:pStyle w:val="Heading1"/>
        <w:spacing w:before="300" w:after="110"/>
      </w:pPr>
      <w:r>
        <w:rPr>
          <w:b/>
          <w:bCs/>
          <w:color w:val="0B4EA2"/>
        </w:rPr>
        <w:t xml:space="preserve">Proof it works (live POC)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 w:val="false"/>
          <w:bCs w:val="false"/>
          <w:sz w:val="22"/>
          <w:szCs w:val="22"/>
        </w:rPr>
        <w:t xml:space="preserve">Full funnel deployed on Cloudflare (Workers + R2 + D1 + Gemini + Resend + Cron) — chat, calculator, prescreen, eKTP OCR, CMS Phases 1–8, Sales portal, and customer status check are all live.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 w:val="false"/>
          <w:bCs w:val="false"/>
          <w:sz w:val="22"/>
          <w:szCs w:val="22"/>
        </w:rPr>
        <w:t xml:space="preserve">Deterministic engine verified: scoring (Surabaya/3M/60jt → A/A/A, owner HB), rate table, NIK validator, Customer-360 XLSX, BI numbers all match the data.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 w:val="false"/>
          <w:bCs w:val="false"/>
          <w:sz w:val="22"/>
          <w:szCs w:val="22"/>
        </w:rPr>
        <w:t xml:space="preserve">Privacy-by-design already in place: un-ticked recorded consent, masked NIK in DB, no full eKTP scan stored, tamper-logged audit trail.</w:t>
      </w:r>
    </w:p>
    <w:p>
      <w:pPr>
        <w:pStyle w:val="Heading1"/>
        <w:spacing w:before="300" w:after="110"/>
      </w:pPr>
      <w:r>
        <w:rPr>
          <w:b/>
          <w:bCs/>
          <w:color w:val="0B4EA2"/>
        </w:rPr>
        <w:t xml:space="preserve">The numbers we move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 w:val="false"/>
          <w:bCs w:val="false"/>
          <w:sz w:val="22"/>
          <w:szCs w:val="22"/>
        </w:rPr>
      </w:r>
      <w:r>
        <w:rPr>
          <w:b/>
          <w:bCs/>
          <w:sz w:val="22"/>
          <w:szCs w:val="22"/>
        </w:rPr>
        <w:t xml:space="preserve">Take-up rate</w:t>
      </w:r>
      <w:r>
        <w:rPr>
          <w:b w:val="false"/>
          <w:bCs w:val="false"/>
          <w:sz w:val="22"/>
          <w:szCs w:val="22"/>
        </w:rPr>
        <w:t xml:space="preserve"> (disbursed / leads) and </w:t>
      </w:r>
      <w:r>
        <w:rPr>
          <w:b/>
          <w:bCs/>
          <w:sz w:val="22"/>
          <w:szCs w:val="22"/>
        </w:rPr>
        <w:t xml:space="preserve">approval rate</w:t>
      </w:r>
      <w:r>
        <w:rPr>
          <w:b w:val="false"/>
          <w:bCs w:val="false"/>
          <w:sz w:val="22"/>
          <w:szCs w:val="22"/>
        </w:rPr>
        <w:t xml:space="preserve"> — shown live on the BI dashboard.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 w:val="false"/>
          <w:bCs w:val="false"/>
          <w:sz w:val="22"/>
          <w:szCs w:val="22"/>
        </w:rPr>
      </w:r>
      <w:r>
        <w:rPr>
          <w:b/>
          <w:bCs/>
          <w:sz w:val="22"/>
          <w:szCs w:val="22"/>
        </w:rPr>
        <w:t xml:space="preserve">Response speed</w:t>
      </w:r>
      <w:r>
        <w:rPr>
          <w:b w:val="false"/>
          <w:bCs w:val="false"/>
          <w:sz w:val="22"/>
          <w:szCs w:val="22"/>
        </w:rPr>
        <w:t xml:space="preserve"> — SLA call within 30 minutes, enforced by cron reminders.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 w:val="false"/>
          <w:bCs w:val="false"/>
          <w:sz w:val="22"/>
          <w:szCs w:val="22"/>
        </w:rPr>
      </w:r>
      <w:r>
        <w:rPr>
          <w:b/>
          <w:bCs/>
          <w:sz w:val="22"/>
          <w:szCs w:val="22"/>
        </w:rPr>
        <w:t xml:space="preserve">RM time saved</w:t>
      </w:r>
      <w:r>
        <w:rPr>
          <w:b w:val="false"/>
          <w:bCs w:val="false"/>
          <w:sz w:val="22"/>
          <w:szCs w:val="22"/>
        </w:rPr>
        <w:t xml:space="preserve"> — repetitive Q&amp;A and manual identity/prescreen entry are automated.</w:t>
      </w:r>
    </w:p>
    <w:p>
      <w:pPr>
        <w:pStyle w:val="Heading1"/>
        <w:spacing w:before="300" w:after="110"/>
      </w:pPr>
      <w:r>
        <w:rPr>
          <w:b/>
          <w:bCs/>
          <w:color w:val="0B4EA2"/>
        </w:rPr>
        <w:t xml:space="preserve">Compliance &amp; production path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 w:val="false"/>
          <w:bCs w:val="false"/>
          <w:sz w:val="22"/>
          <w:szCs w:val="22"/>
        </w:rPr>
        <w:t xml:space="preserve">Engineered against </w:t>
      </w:r>
      <w:r>
        <w:rPr>
          <w:b/>
          <w:bCs/>
          <w:sz w:val="22"/>
          <w:szCs w:val="22"/>
        </w:rPr>
        <w:t xml:space="preserve">UU PDP 27/2022</w:t>
      </w:r>
      <w:r>
        <w:rPr>
          <w:b w:val="false"/>
          <w:bCs w:val="false"/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 xml:space="preserve">OJK/BI</w:t>
      </w:r>
      <w:r>
        <w:rPr>
          <w:b w:val="false"/>
          <w:bCs w:val="false"/>
          <w:sz w:val="22"/>
          <w:szCs w:val="22"/>
        </w:rPr>
        <w:t xml:space="preserve"> expectations; the audit's one critical item (cross-border AI + data localization) is resolved by the planned </w:t>
      </w:r>
      <w:r>
        <w:rPr>
          <w:b/>
          <w:bCs/>
          <w:sz w:val="22"/>
          <w:szCs w:val="22"/>
        </w:rPr>
        <w:t xml:space="preserve">on-premise deployment with self-hosted models</w:t>
      </w:r>
      <w:r>
        <w:rPr>
          <w:b w:val="false"/>
          <w:bCs w:val="false"/>
          <w:sz w:val="22"/>
          <w:szCs w:val="22"/>
        </w:rPr>
        <w:t xml:space="preserve"> (Sahabat-AI/SEA-LION/Qwen2.5 for chat, Qwen2.5-VL for eKTP OCR, BGE-M3 for RAG).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 w:val="false"/>
          <w:bCs w:val="false"/>
          <w:sz w:val="22"/>
          <w:szCs w:val="22"/>
        </w:rPr>
        <w:t xml:space="preserve">Investment options costed (cloud vs on-prem TCO) in the final audit; on-prem is the compliance-driven choice for sovereignty.</w:t>
      </w:r>
    </w:p>
    <w:p>
      <w:pPr>
        <w:pStyle w:val="Heading1"/>
        <w:spacing w:before="300" w:after="110"/>
      </w:pPr>
      <w:r>
        <w:rPr>
          <w:b/>
          <w:bCs/>
          <w:color w:val="0B4EA2"/>
        </w:rPr>
        <w:t xml:space="preserve">Roadmap after the POC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0B4EA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pct" w:w="78%"/>
            <w:shd w:fill="0B4EA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</w:tr>
      <w:tr>
        <w:tc>
          <w:tcPr>
            <w:tcW w:type="pct" w:w="22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Now (POC)</w:t>
            </w:r>
          </w:p>
        </w:tc>
        <w:tc>
          <w:tcPr>
            <w:tcW w:type="pct" w:w="78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 funnel live on Cloudflare; deterministic core + CMS + Sales portal + status check</w:t>
            </w:r>
          </w:p>
        </w:tc>
      </w:tr>
      <w:tr>
        <w:tc>
          <w:tcPr>
            <w:tcW w:type="pct" w:w="22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Hardening</w:t>
            </w:r>
          </w:p>
        </w:tc>
        <w:tc>
          <w:tcPr>
            <w:tcW w:type="pct" w:w="78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MFA + stronger password hashing, global rate limiting, retention/erasure automation, official consent PDF</w:t>
            </w:r>
          </w:p>
        </w:tc>
      </w:tr>
      <w:tr>
        <w:tc>
          <w:tcPr>
            <w:tcW w:type="pct" w:w="22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On-prem</w:t>
            </w:r>
          </w:p>
        </w:tc>
        <w:tc>
          <w:tcPr>
            <w:tcW w:type="pct" w:w="78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Self-hosted AI + MinIO/PostgreSQL/vLLM/SMTP; onshore data; OJK/PDP sign-off</w:t>
            </w:r>
          </w:p>
        </w:tc>
      </w:tr>
      <w:tr>
        <w:tc>
          <w:tcPr>
            <w:tcW w:type="pct" w:w="22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Integrate</w:t>
            </w:r>
          </w:p>
        </w:tc>
        <w:tc>
          <w:tcPr>
            <w:tcW w:type="pct" w:w="78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Core-banking / credit-engine hooks; per-sales email routing; analytics deepening</w:t>
            </w:r>
          </w:p>
        </w:tc>
      </w:tr>
    </w:tbl>
    <w:p>
      <w:pPr>
        <w:pStyle w:val="Heading1"/>
        <w:spacing w:before="300" w:after="110"/>
      </w:pPr>
      <w:r>
        <w:rPr>
          <w:b/>
          <w:bCs/>
          <w:color w:val="0B4EA2"/>
        </w:rPr>
        <w:t xml:space="preserve">The ask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 w:val="false"/>
          <w:bCs w:val="false"/>
          <w:sz w:val="22"/>
          <w:szCs w:val="22"/>
        </w:rPr>
        <w:t xml:space="preserve">Green-light a </w:t>
      </w:r>
      <w:r>
        <w:rPr>
          <w:b/>
          <w:bCs/>
          <w:sz w:val="22"/>
          <w:szCs w:val="22"/>
        </w:rPr>
        <w:t xml:space="preserve">pilot with real (consented) applicants</w:t>
      </w:r>
      <w:r>
        <w:rPr>
          <w:b w:val="false"/>
          <w:bCs w:val="false"/>
          <w:sz w:val="22"/>
          <w:szCs w:val="22"/>
        </w:rPr>
        <w:t xml:space="preserve"> on the hardened build, and approve the </w:t>
      </w:r>
      <w:r>
        <w:rPr>
          <w:b/>
          <w:bCs/>
          <w:sz w:val="22"/>
          <w:szCs w:val="22"/>
        </w:rPr>
        <w:t xml:space="preserve">on-premise deployment</w:t>
      </w:r>
      <w:r>
        <w:rPr>
          <w:b w:val="false"/>
          <w:bCs w:val="false"/>
          <w:sz w:val="22"/>
          <w:szCs w:val="22"/>
        </w:rPr>
        <w:t xml:space="preserve"> for data sovereignty.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 w:val="false"/>
          <w:bCs w:val="false"/>
          <w:sz w:val="22"/>
          <w:szCs w:val="22"/>
        </w:rPr>
        <w:t xml:space="preserve">Assign a </w:t>
      </w:r>
      <w:r>
        <w:rPr>
          <w:b/>
          <w:bCs/>
          <w:sz w:val="22"/>
          <w:szCs w:val="22"/>
        </w:rPr>
        <w:t xml:space="preserve">DPO/Compliance reviewer</w:t>
      </w:r>
      <w:r>
        <w:rPr>
          <w:b w:val="false"/>
          <w:bCs w:val="false"/>
          <w:sz w:val="22"/>
          <w:szCs w:val="22"/>
        </w:rPr>
        <w:t xml:space="preserve"> and confirm onshore-placement scope for eKTP/NIK.</w:t>
      </w:r>
    </w:p>
    <w:p>
      <w:pPr>
        <w:spacing w:before="240"/>
      </w:pPr>
      <w:r>
        <w:rPr>
          <w:i/>
          <w:iCs/>
          <w:color w:val="5A6573"/>
          <w:sz w:val="16"/>
          <w:szCs w:val="16"/>
        </w:rPr>
        <w:t xml:space="preserve">Internal document. Compliance conclusions require sign-off by the Bank's DPO, Legal, and Compliance. Live POC: https://ef6af686-sakhapr.hendrik-panthron.workers.dev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iyuduocgguw06qdsybohk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Morby Pitch Brief</dc:title>
  <dc:creator>Morby POC</dc:creator>
  <cp:lastModifiedBy>Un-named</cp:lastModifiedBy>
  <cp:revision>1</cp:revision>
  <dcterms:created xsi:type="dcterms:W3CDTF">2026-07-19T21:47:47.098Z</dcterms:created>
  <dcterms:modified xsi:type="dcterms:W3CDTF">2026-07-19T21:47:47.098Z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