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XSpec="center" w:tblpY="1"/>
        <w:tblOverlap w:val="never"/>
        <w:tblW w:w="10813" w:type="dxa"/>
        <w:jc w:val="center"/>
        <w:tblLook w:val="04A0" w:firstRow="1" w:lastRow="0" w:firstColumn="1" w:lastColumn="0" w:noHBand="0" w:noVBand="1"/>
      </w:tblPr>
      <w:tblGrid>
        <w:gridCol w:w="800"/>
        <w:gridCol w:w="2456"/>
        <w:gridCol w:w="1465"/>
        <w:gridCol w:w="2091"/>
        <w:gridCol w:w="1109"/>
        <w:gridCol w:w="992"/>
        <w:gridCol w:w="992"/>
        <w:gridCol w:w="908"/>
      </w:tblGrid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№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Показатель</w:t>
            </w:r>
          </w:p>
        </w:tc>
        <w:tc>
          <w:tcPr>
            <w:tcW w:w="1465" w:type="dxa"/>
            <w:noWrap/>
            <w:hideMark/>
          </w:tcPr>
          <w:p w:rsidR="00913714" w:rsidRPr="00913714" w:rsidRDefault="00913714" w:rsidP="00AD4268">
            <w:r w:rsidRPr="00913714">
              <w:t>Обозначения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913714" w:rsidP="00AD4268">
            <w:r w:rsidRPr="00913714">
              <w:t>Ед. измерения</w: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ТЭС</w:t>
            </w:r>
          </w:p>
        </w:tc>
        <w:tc>
          <w:tcPr>
            <w:tcW w:w="992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ТР</w:t>
            </w:r>
          </w:p>
        </w:tc>
        <w:tc>
          <w:tcPr>
            <w:tcW w:w="1900" w:type="dxa"/>
            <w:gridSpan w:val="2"/>
            <w:noWrap/>
            <w:hideMark/>
          </w:tcPr>
          <w:p w:rsidR="00913714" w:rsidRDefault="00913714" w:rsidP="00AD4268">
            <w:r>
              <w:t xml:space="preserve">               </w:t>
            </w:r>
            <w:r w:rsidRPr="00913714">
              <w:t>БР</w:t>
            </w:r>
          </w:p>
          <w:p w:rsidR="00913714" w:rsidRPr="00913714" w:rsidRDefault="00913714" w:rsidP="00AD4268">
            <w:r>
              <w:t xml:space="preserve">     АЗ              </w:t>
            </w:r>
            <w:proofErr w:type="spellStart"/>
            <w:r>
              <w:t>Экр</w:t>
            </w:r>
            <w:proofErr w:type="spellEnd"/>
          </w:p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Электроэнергия отпущенная потребителю в год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lang w:val="en-US"/>
              </w:rPr>
            </w:pPr>
            <w:r w:rsidRPr="001F11B2">
              <w:rPr>
                <w:sz w:val="28"/>
                <w:lang w:val="en-US"/>
              </w:rPr>
              <w:t>W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FE3E0F" w:rsidP="00130A0B">
            <w:pPr>
              <w:jc w:val="center"/>
            </w:pPr>
            <w:r w:rsidRPr="00FE3E0F">
              <w:rPr>
                <w:position w:val="-24"/>
              </w:rPr>
              <w:object w:dxaOrig="11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54.75pt;height:30.75pt" o:ole="">
                  <v:imagedata r:id="rId4" o:title=""/>
                </v:shape>
                <o:OLEObject Type="Embed" ProgID="Equation.DSMT4" ShapeID="_x0000_i1047" DrawAspect="Content" ObjectID="_1586426096" r:id="rId5"/>
              </w:object>
            </w:r>
            <w:bookmarkStart w:id="0" w:name="_GoBack"/>
            <w:bookmarkEnd w:id="0"/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2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Ежегодный расход топлива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460" w:dyaOrig="620">
                <v:shape id="_x0000_i1026" type="#_x0000_t75" style="width:23.25pt;height:30.75pt" o:ole="">
                  <v:imagedata r:id="rId6" o:title=""/>
                </v:shape>
                <o:OLEObject Type="Embed" ProgID="Equation.DSMT4" ShapeID="_x0000_i1026" DrawAspect="Content" ObjectID="_1586426097" r:id="rId7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3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Ежегодная потребность в пр. или отв. U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c</w:t>
            </w:r>
            <w:proofErr w:type="spellEnd"/>
            <w:r w:rsidRPr="001F11B2">
              <w:rPr>
                <w:sz w:val="28"/>
                <w:vertAlign w:val="subscript"/>
                <w:lang w:val="en-US"/>
              </w:rPr>
              <w:t xml:space="preserve"> </w:t>
            </w:r>
            <w:r w:rsidRPr="001F11B2">
              <w:rPr>
                <w:sz w:val="28"/>
                <w:lang w:val="en-US"/>
              </w:rPr>
              <w:t xml:space="preserve"> </w:t>
            </w:r>
            <w:r w:rsidRPr="001F11B2">
              <w:rPr>
                <w:sz w:val="28"/>
              </w:rPr>
              <w:t xml:space="preserve">или </w:t>
            </w: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460" w:dyaOrig="620">
                <v:shape id="_x0000_i1027" type="#_x0000_t75" style="width:23.25pt;height:30.75pt" o:ole="">
                  <v:imagedata r:id="rId8" o:title=""/>
                </v:shape>
                <o:OLEObject Type="Embed" ProgID="Equation.DSMT4" ShapeID="_x0000_i1027" DrawAspect="Content" ObjectID="_1586426098" r:id="rId9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4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Товарный </w:t>
            </w:r>
            <w:proofErr w:type="spellStart"/>
            <w:r w:rsidRPr="00913714">
              <w:t>Pu</w:t>
            </w:r>
            <w:proofErr w:type="spellEnd"/>
            <w:r w:rsidRPr="00913714">
              <w:t xml:space="preserve"> в год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  <w:lang w:val="en-US"/>
              </w:rPr>
            </w:pPr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9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460" w:dyaOrig="620">
                <v:shape id="_x0000_i1028" type="#_x0000_t75" style="width:23.25pt;height:30.75pt" o:ole="">
                  <v:imagedata r:id="rId10" o:title=""/>
                </v:shape>
                <o:OLEObject Type="Embed" ProgID="Equation.DSMT4" ShapeID="_x0000_i1028" DrawAspect="Content" ObjectID="_1586426099" r:id="rId11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5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Полное накопление товарного </w:t>
            </w:r>
            <w:proofErr w:type="spellStart"/>
            <w:r w:rsidRPr="00913714">
              <w:t>Pu</w:t>
            </w:r>
            <w:proofErr w:type="spellEnd"/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</w:rPr>
            </w:pPr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9tot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300" w:dyaOrig="220">
                <v:shape id="_x0000_i1029" type="#_x0000_t75" style="width:15pt;height:11.25pt" o:ole="">
                  <v:imagedata r:id="rId12" o:title=""/>
                </v:shape>
                <o:OLEObject Type="Embed" ProgID="Equation.DSMT4" ShapeID="_x0000_i1029" DrawAspect="Content" ObjectID="_1586426100" r:id="rId13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6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Ежегодная потребность в U5 </w:t>
            </w:r>
            <w:proofErr w:type="spellStart"/>
            <w:r w:rsidRPr="00913714">
              <w:t>c.р</w:t>
            </w:r>
            <w:proofErr w:type="spellEnd"/>
            <w:r w:rsidRPr="00913714">
              <w:t>/</w:t>
            </w:r>
            <w:proofErr w:type="spellStart"/>
            <w:r w:rsidRPr="00913714">
              <w:t>б.р</w:t>
            </w:r>
            <w:proofErr w:type="spellEnd"/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  <w:lang w:val="en-US"/>
              </w:rPr>
            </w:pPr>
            <w:r w:rsidRPr="001F11B2">
              <w:rPr>
                <w:rFonts w:ascii="Times New Roman" w:hAnsi="Times New Roman" w:cs="Times New Roman"/>
                <w:sz w:val="28"/>
              </w:rPr>
              <w:t>Δ</w:t>
            </w:r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091" w:type="dxa"/>
            <w:noWrap/>
            <w:hideMark/>
          </w:tcPr>
          <w:p w:rsidR="00913714" w:rsidRPr="00AD4268" w:rsidRDefault="00AD4268" w:rsidP="00130A0B">
            <w:pPr>
              <w:jc w:val="center"/>
              <w:rPr>
                <w:lang w:val="en-US"/>
              </w:rPr>
            </w:pPr>
            <w:r w:rsidRPr="00AD4268">
              <w:rPr>
                <w:position w:val="-24"/>
              </w:rPr>
              <w:object w:dxaOrig="460" w:dyaOrig="620">
                <v:shape id="_x0000_i1030" type="#_x0000_t75" style="width:23.25pt;height:30.75pt" o:ole="">
                  <v:imagedata r:id="rId10" o:title=""/>
                </v:shape>
                <o:OLEObject Type="Embed" ProgID="Equation.DSMT4" ShapeID="_x0000_i1030" DrawAspect="Content" ObjectID="_1586426101" r:id="rId14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7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proofErr w:type="spellStart"/>
            <w:r w:rsidRPr="00913714">
              <w:t>Энономический</w:t>
            </w:r>
            <w:proofErr w:type="spellEnd"/>
            <w:r w:rsidRPr="00913714">
              <w:t xml:space="preserve"> коэффициент воспроизводства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</w:rPr>
            </w:pPr>
            <w:proofErr w:type="spellStart"/>
            <w:r w:rsidRPr="001F11B2">
              <w:rPr>
                <w:sz w:val="28"/>
              </w:rPr>
              <w:t>КВ</w:t>
            </w:r>
            <w:r w:rsidRPr="001F11B2">
              <w:rPr>
                <w:sz w:val="28"/>
                <w:vertAlign w:val="subscript"/>
              </w:rPr>
              <w:t>эк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760" w:dyaOrig="620">
                <v:shape id="_x0000_i1031" type="#_x0000_t75" style="width:38.25pt;height:30.75pt" o:ole="">
                  <v:imagedata r:id="rId15" o:title=""/>
                </v:shape>
                <o:OLEObject Type="Embed" ProgID="Equation.DSMT4" ShapeID="_x0000_i1031" DrawAspect="Content" ObjectID="_1586426102" r:id="rId16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8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Полная потребность в природном уране или угле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сtot</w:t>
            </w:r>
            <w:proofErr w:type="spellEnd"/>
            <w:r w:rsidRPr="001F11B2">
              <w:rPr>
                <w:sz w:val="28"/>
                <w:vertAlign w:val="subscript"/>
              </w:rPr>
              <w:t xml:space="preserve"> </w:t>
            </w:r>
            <w:r w:rsidRPr="001F11B2">
              <w:rPr>
                <w:sz w:val="28"/>
              </w:rPr>
              <w:t xml:space="preserve">или </w:t>
            </w: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угля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260" w:dyaOrig="220">
                <v:shape id="_x0000_i1032" type="#_x0000_t75" style="width:12.75pt;height:11.25pt" o:ole="">
                  <v:imagedata r:id="rId17" o:title=""/>
                </v:shape>
                <o:OLEObject Type="Embed" ProgID="Equation.DSMT4" ShapeID="_x0000_i1032" DrawAspect="Content" ObjectID="_1586426103" r:id="rId18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9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Ежегодное накопление </w:t>
            </w:r>
            <w:proofErr w:type="spellStart"/>
            <w:r w:rsidRPr="00913714">
              <w:t>отвальн</w:t>
            </w:r>
            <w:proofErr w:type="spellEnd"/>
            <w:r w:rsidRPr="00913714">
              <w:t>. U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у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460" w:dyaOrig="620">
                <v:shape id="_x0000_i1033" type="#_x0000_t75" style="width:23.25pt;height:30.75pt" o:ole="">
                  <v:imagedata r:id="rId19" o:title=""/>
                </v:shape>
                <o:OLEObject Type="Embed" ProgID="Equation.DSMT4" ShapeID="_x0000_i1033" DrawAspect="Content" ObjectID="_1586426104" r:id="rId20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10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Полное накопление </w:t>
            </w:r>
            <w:proofErr w:type="spellStart"/>
            <w:r w:rsidRPr="00913714">
              <w:t>отваль</w:t>
            </w:r>
            <w:proofErr w:type="spellEnd"/>
            <w:r w:rsidRPr="00913714">
              <w:t>. U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  <w:lang w:val="en-US"/>
              </w:rPr>
              <w:t>G</w:t>
            </w:r>
            <w:r w:rsidRPr="001F11B2">
              <w:rPr>
                <w:sz w:val="28"/>
                <w:vertAlign w:val="subscript"/>
                <w:lang w:val="en-US"/>
              </w:rPr>
              <w:t>ytot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260" w:dyaOrig="220">
                <v:shape id="_x0000_i1034" type="#_x0000_t75" style="width:12.75pt;height:11.25pt" o:ole="">
                  <v:imagedata r:id="rId17" o:title=""/>
                </v:shape>
                <o:OLEObject Type="Embed" ProgID="Equation.DSMT4" ShapeID="_x0000_i1034" DrawAspect="Content" ObjectID="_1586426105" r:id="rId21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11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Компания топлива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 w:rsidRPr="001F11B2">
              <w:rPr>
                <w:sz w:val="28"/>
                <w:lang w:val="en-US"/>
              </w:rPr>
              <w:t>T</w:t>
            </w:r>
            <w:r w:rsidRPr="001F11B2">
              <w:rPr>
                <w:sz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420" w:dyaOrig="279">
                <v:shape id="_x0000_i1035" type="#_x0000_t75" style="width:21pt;height:14.25pt" o:ole="">
                  <v:imagedata r:id="rId22" o:title=""/>
                </v:shape>
                <o:OLEObject Type="Embed" ProgID="Equation.DSMT4" ShapeID="_x0000_i1035" DrawAspect="Content" ObjectID="_1586426106" r:id="rId23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12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Длительность топливного цикла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  <w:lang w:val="en-US"/>
              </w:rPr>
              <w:t>T</w:t>
            </w:r>
            <w:r w:rsidRPr="001F11B2">
              <w:rPr>
                <w:sz w:val="28"/>
                <w:vertAlign w:val="subscript"/>
              </w:rPr>
              <w:t>ц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420" w:dyaOrig="279">
                <v:shape id="_x0000_i1036" type="#_x0000_t75" style="width:21pt;height:14.25pt" o:ole="">
                  <v:imagedata r:id="rId24" o:title=""/>
                </v:shape>
                <o:OLEObject Type="Embed" ProgID="Equation.DSMT4" ShapeID="_x0000_i1036" DrawAspect="Content" ObjectID="_1586426107" r:id="rId25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13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proofErr w:type="spellStart"/>
            <w:r w:rsidRPr="00913714">
              <w:t>Коэфф</w:t>
            </w:r>
            <w:proofErr w:type="spellEnd"/>
            <w:r w:rsidRPr="00913714">
              <w:t xml:space="preserve"> возврата в цикл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</w:rPr>
              <w:t>КВЦ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6"/>
              </w:rPr>
              <w:object w:dxaOrig="380" w:dyaOrig="220">
                <v:shape id="_x0000_i1037" type="#_x0000_t75" style="width:18.75pt;height:11.25pt" o:ole="">
                  <v:imagedata r:id="rId26" o:title=""/>
                </v:shape>
                <o:OLEObject Type="Embed" ProgID="Equation.DSMT4" ShapeID="_x0000_i1037" DrawAspect="Content" ObjectID="_1586426108" r:id="rId27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14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proofErr w:type="spellStart"/>
            <w:r w:rsidRPr="00913714">
              <w:t>Себистоимость</w:t>
            </w:r>
            <w:proofErr w:type="spellEnd"/>
            <w:r w:rsidRPr="00913714">
              <w:t xml:space="preserve"> отпущенной эл. Энергии </w:t>
            </w:r>
            <w:proofErr w:type="spellStart"/>
            <w:r w:rsidRPr="00913714">
              <w:t>с.р</w:t>
            </w:r>
            <w:proofErr w:type="spellEnd"/>
            <w:r w:rsidRPr="00913714">
              <w:t>./</w:t>
            </w:r>
            <w:proofErr w:type="spellStart"/>
            <w:r w:rsidRPr="00913714">
              <w:t>б.р</w:t>
            </w:r>
            <w:proofErr w:type="spellEnd"/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  <w:vertAlign w:val="subscript"/>
              </w:rPr>
            </w:pPr>
            <w:proofErr w:type="spellStart"/>
            <w:r w:rsidRPr="001F11B2">
              <w:rPr>
                <w:sz w:val="28"/>
              </w:rPr>
              <w:t>С</w:t>
            </w:r>
            <w:r w:rsidRPr="001F11B2">
              <w:rPr>
                <w:sz w:val="28"/>
                <w:vertAlign w:val="subscript"/>
              </w:rPr>
              <w:t>э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999" w:dyaOrig="620">
                <v:shape id="_x0000_i1038" type="#_x0000_t75" style="width:50.25pt;height:30.75pt" o:ole="">
                  <v:imagedata r:id="rId28" o:title=""/>
                </v:shape>
                <o:OLEObject Type="Embed" ProgID="Equation.DSMT4" ShapeID="_x0000_i1038" DrawAspect="Content" ObjectID="_1586426109" r:id="rId29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15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 xml:space="preserve">Топливная составляющая </w:t>
            </w:r>
            <w:proofErr w:type="spellStart"/>
            <w:r w:rsidRPr="00913714">
              <w:t>с.р</w:t>
            </w:r>
            <w:proofErr w:type="spellEnd"/>
            <w:r w:rsidRPr="00913714">
              <w:t>./</w:t>
            </w:r>
            <w:proofErr w:type="spellStart"/>
            <w:r w:rsidRPr="00913714">
              <w:t>б.р</w:t>
            </w:r>
            <w:proofErr w:type="spellEnd"/>
            <w:r w:rsidRPr="00913714">
              <w:t>.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</w:rPr>
              <w:t>С</w:t>
            </w:r>
            <w:r w:rsidRPr="001F11B2">
              <w:rPr>
                <w:sz w:val="28"/>
                <w:vertAlign w:val="subscript"/>
              </w:rPr>
              <w:t>т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999" w:dyaOrig="620">
                <v:shape id="_x0000_i1039" type="#_x0000_t75" style="width:50.25pt;height:30.75pt" o:ole="">
                  <v:imagedata r:id="rId30" o:title=""/>
                </v:shape>
                <o:OLEObject Type="Embed" ProgID="Equation.DSMT4" ShapeID="_x0000_i1039" DrawAspect="Content" ObjectID="_1586426110" r:id="rId31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16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Амортизационная составляющая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</w:rPr>
              <w:t>С</w:t>
            </w:r>
            <w:r w:rsidRPr="001F11B2">
              <w:rPr>
                <w:sz w:val="28"/>
                <w:vertAlign w:val="subscript"/>
              </w:rPr>
              <w:t>а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999" w:dyaOrig="620">
                <v:shape id="_x0000_i1040" type="#_x0000_t75" style="width:50.25pt;height:30.75pt" o:ole="">
                  <v:imagedata r:id="rId32" o:title=""/>
                </v:shape>
                <o:OLEObject Type="Embed" ProgID="Equation.DSMT4" ShapeID="_x0000_i1040" DrawAspect="Content" ObjectID="_1586426111" r:id="rId33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17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Составляющая зарплаты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proofErr w:type="spellStart"/>
            <w:r w:rsidRPr="001F11B2">
              <w:rPr>
                <w:sz w:val="28"/>
              </w:rPr>
              <w:t>С</w:t>
            </w:r>
            <w:r w:rsidRPr="001F11B2">
              <w:rPr>
                <w:sz w:val="28"/>
                <w:vertAlign w:val="subscript"/>
              </w:rPr>
              <w:t>з</w:t>
            </w:r>
            <w:proofErr w:type="spellEnd"/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999" w:dyaOrig="620">
                <v:shape id="_x0000_i1041" type="#_x0000_t75" style="width:50.25pt;height:30.75pt" o:ole="">
                  <v:imagedata r:id="rId34" o:title=""/>
                </v:shape>
                <o:OLEObject Type="Embed" ProgID="Equation.DSMT4" ShapeID="_x0000_i1041" DrawAspect="Content" ObjectID="_1586426112" r:id="rId35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18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Приведённые зарплаты на эл. Энергию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</w:rPr>
              <w:t>РЗ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999" w:dyaOrig="620">
                <v:shape id="_x0000_i1042" type="#_x0000_t75" style="width:50.25pt;height:30.75pt" o:ole="">
                  <v:imagedata r:id="rId36" o:title=""/>
                </v:shape>
                <o:OLEObject Type="Embed" ProgID="Equation.DSMT4" ShapeID="_x0000_i1042" DrawAspect="Content" ObjectID="_1586426113" r:id="rId37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19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Удельные капитальные затраты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</w:rPr>
              <w:t>КУД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540" w:dyaOrig="620">
                <v:shape id="_x0000_i1043" type="#_x0000_t75" style="width:27pt;height:30.75pt" o:ole="">
                  <v:imagedata r:id="rId38" o:title=""/>
                </v:shape>
                <o:OLEObject Type="Embed" ProgID="Equation.DSMT4" ShapeID="_x0000_i1043" DrawAspect="Content" ObjectID="_1586426114" r:id="rId39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20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Удельные долгосрочные оборотные средства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</w:rPr>
              <w:t>У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4"/>
              </w:rPr>
              <w:object w:dxaOrig="540" w:dyaOrig="620">
                <v:shape id="_x0000_i1044" type="#_x0000_t75" style="width:27pt;height:30.75pt" o:ole="">
                  <v:imagedata r:id="rId40" o:title=""/>
                </v:shape>
                <o:OLEObject Type="Embed" ProgID="Equation.DSMT4" ShapeID="_x0000_i1044" DrawAspect="Content" ObjectID="_1586426115" r:id="rId41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  <w:tr w:rsidR="00913714" w:rsidRPr="00913714" w:rsidTr="00130A0B">
        <w:trPr>
          <w:trHeight w:val="540"/>
          <w:jc w:val="center"/>
        </w:trPr>
        <w:tc>
          <w:tcPr>
            <w:tcW w:w="800" w:type="dxa"/>
            <w:noWrap/>
            <w:hideMark/>
          </w:tcPr>
          <w:p w:rsidR="00913714" w:rsidRPr="00913714" w:rsidRDefault="00913714" w:rsidP="00AD4268">
            <w:pPr>
              <w:jc w:val="center"/>
            </w:pPr>
            <w:r w:rsidRPr="00913714">
              <w:t>21</w:t>
            </w:r>
          </w:p>
        </w:tc>
        <w:tc>
          <w:tcPr>
            <w:tcW w:w="2456" w:type="dxa"/>
            <w:noWrap/>
            <w:hideMark/>
          </w:tcPr>
          <w:p w:rsidR="00913714" w:rsidRPr="00913714" w:rsidRDefault="00913714" w:rsidP="00AD4268">
            <w:r w:rsidRPr="00913714">
              <w:t>Цена топлива</w:t>
            </w:r>
          </w:p>
        </w:tc>
        <w:tc>
          <w:tcPr>
            <w:tcW w:w="1465" w:type="dxa"/>
            <w:noWrap/>
            <w:hideMark/>
          </w:tcPr>
          <w:p w:rsidR="00913714" w:rsidRPr="001F11B2" w:rsidRDefault="001F11B2" w:rsidP="00AD4268">
            <w:pPr>
              <w:jc w:val="center"/>
              <w:rPr>
                <w:sz w:val="28"/>
              </w:rPr>
            </w:pPr>
            <w:r w:rsidRPr="001F11B2">
              <w:rPr>
                <w:sz w:val="28"/>
              </w:rPr>
              <w:t>С</w:t>
            </w:r>
            <w:r w:rsidRPr="001F11B2">
              <w:rPr>
                <w:sz w:val="28"/>
                <w:vertAlign w:val="subscript"/>
              </w:rPr>
              <w:t>топ</w:t>
            </w:r>
          </w:p>
        </w:tc>
        <w:tc>
          <w:tcPr>
            <w:tcW w:w="2091" w:type="dxa"/>
            <w:noWrap/>
            <w:hideMark/>
          </w:tcPr>
          <w:p w:rsidR="00913714" w:rsidRPr="00913714" w:rsidRDefault="00AD4268" w:rsidP="00130A0B">
            <w:pPr>
              <w:jc w:val="center"/>
            </w:pPr>
            <w:r w:rsidRPr="00AD4268">
              <w:rPr>
                <w:position w:val="-28"/>
              </w:rPr>
              <w:object w:dxaOrig="1880" w:dyaOrig="660">
                <v:shape id="_x0000_i1045" type="#_x0000_t75" style="width:93.75pt;height:33pt" o:ole="">
                  <v:imagedata r:id="rId42" o:title=""/>
                </v:shape>
                <o:OLEObject Type="Embed" ProgID="Equation.DSMT4" ShapeID="_x0000_i1045" DrawAspect="Content" ObjectID="_1586426116" r:id="rId43"/>
              </w:object>
            </w:r>
          </w:p>
        </w:tc>
        <w:tc>
          <w:tcPr>
            <w:tcW w:w="1109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92" w:type="dxa"/>
            <w:noWrap/>
            <w:hideMark/>
          </w:tcPr>
          <w:p w:rsidR="00913714" w:rsidRPr="00913714" w:rsidRDefault="00913714" w:rsidP="00AD4268"/>
        </w:tc>
        <w:tc>
          <w:tcPr>
            <w:tcW w:w="908" w:type="dxa"/>
          </w:tcPr>
          <w:p w:rsidR="00913714" w:rsidRPr="00913714" w:rsidRDefault="00913714" w:rsidP="00AD4268"/>
        </w:tc>
      </w:tr>
    </w:tbl>
    <w:p w:rsidR="00D41F8D" w:rsidRDefault="00D41F8D" w:rsidP="00AD4268"/>
    <w:sectPr w:rsidR="00D4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49"/>
    <w:rsid w:val="00130A0B"/>
    <w:rsid w:val="001F11B2"/>
    <w:rsid w:val="00564849"/>
    <w:rsid w:val="008C6AB0"/>
    <w:rsid w:val="00913714"/>
    <w:rsid w:val="00AD4268"/>
    <w:rsid w:val="00AF41DF"/>
    <w:rsid w:val="00C21566"/>
    <w:rsid w:val="00D41F8D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54450-C93E-45A4-8915-EF898FDC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2018-04-28T09:22:00Z</dcterms:created>
  <dcterms:modified xsi:type="dcterms:W3CDTF">2018-04-28T10:06:00Z</dcterms:modified>
</cp:coreProperties>
</file>