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32d4babb37ecec30792d2de515fbea6a0632b6e"/>
    <w:p>
      <w:pPr>
        <w:pStyle w:val="Heading1"/>
      </w:pPr>
      <w:r>
        <w:t xml:space="preserve">Calibration Next Steps — DSSAT Hydroponic Lettuce Model</w:t>
      </w:r>
    </w:p>
    <w:p>
      <w:pPr>
        <w:pStyle w:val="FirstParagraph"/>
      </w:pPr>
      <w:r>
        <w:rPr>
          <w:b/>
          <w:bCs/>
        </w:rPr>
        <w:t xml:space="preserve">Date:</w:t>
      </w:r>
      <w:r>
        <w:t xml:space="preserve"> </w:t>
      </w:r>
      <w:r>
        <w:t xml:space="preserve">2026-04-27 (updated after GLUE calibration of BIBB, FNPGN, and GTGA2401 evaluation)</w:t>
      </w:r>
      <w:r>
        <w:t xml:space="preserve"> </w:t>
      </w:r>
      <w:r>
        <w:rPr>
          <w:b/>
          <w:bCs/>
        </w:rPr>
        <w:t xml:space="preserve">Model:</w:t>
      </w:r>
      <w:r>
        <w:t xml:space="preserve"> </w:t>
      </w:r>
      <w:r>
        <w:t xml:space="preserve">CRGRO048 (CROPGRO lettuce), DSSAT 4.8.5</w:t>
      </w:r>
      <w:r>
        <w:t xml:space="preserve"> </w:t>
      </w:r>
      <w:r>
        <w:rPr>
          <w:b/>
          <w:bCs/>
        </w:rPr>
        <w:t xml:space="preserve">Experiments:</w:t>
      </w:r>
      <w:r>
        <w:t xml:space="preserve"> </w:t>
      </w:r>
      <w:r>
        <w:t xml:space="preserve">WAGA9101 (Heinen 1994), UFGA2201 (JP Thesis 2022), UFGA2402 (Donald Coon 2024–2025), GTGA2401 (Sharkey et al. 2024, Georgia Tech)</w:t>
      </w:r>
    </w:p>
    <w:p>
      <w:r>
        <w:pict>
          <v:rect style="width:0;height:1.5pt" o:hralign="center" o:hrstd="t" o:hr="t"/>
        </w:pict>
      </w:r>
    </w:p>
    <w:bookmarkStart w:id="15" w:name="current-model-state"/>
    <w:p>
      <w:pPr>
        <w:pStyle w:val="Heading2"/>
      </w:pPr>
      <w:r>
        <w:t xml:space="preserve">Current Model State</w:t>
      </w:r>
    </w:p>
    <w:bookmarkStart w:id="9" w:name="spe-parameters-lugro048.spe"/>
    <w:p>
      <w:pPr>
        <w:pStyle w:val="Heading3"/>
      </w:pPr>
      <w:r>
        <w:t xml:space="preserve">SPE Parameters (LUGRO048.SPE)</w:t>
      </w:r>
    </w:p>
    <w:tbl>
      <w:tblPr>
        <w:tblStyle w:val="Table"/>
        <w:tblW w:type="pct" w:w="5000"/>
        <w:tblLayout w:type="fixed"/>
        <w:tblLook w:firstRow="1" w:lastRow="0" w:firstColumn="0" w:lastColumn="0" w:noHBand="0" w:noVBand="0" w:val="0020"/>
      </w:tblPr>
      <w:tblGrid>
        <w:gridCol w:w="3484"/>
        <w:gridCol w:w="2217"/>
        <w:gridCol w:w="2217"/>
      </w:tblGrid>
      <w:tr>
        <w:trPr>
          <w:tblHeader w:val="on"/>
        </w:trPr>
        <w:tc>
          <w:tcPr/>
          <w:p>
            <w:pPr>
              <w:pStyle w:val="Compact"/>
            </w:pPr>
            <w:r>
              <w:t xml:space="preserve">Parameter</w:t>
            </w:r>
          </w:p>
        </w:tc>
        <w:tc>
          <w:tcPr/>
          <w:p>
            <w:pPr>
              <w:pStyle w:val="Compact"/>
            </w:pPr>
            <w:r>
              <w:t xml:space="preserve">Value</w:t>
            </w:r>
          </w:p>
        </w:tc>
        <w:tc>
          <w:tcPr/>
          <w:p>
            <w:pPr>
              <w:pStyle w:val="Compact"/>
            </w:pPr>
            <w:r>
              <w:t xml:space="preserve">Notes</w:t>
            </w:r>
          </w:p>
        </w:tc>
      </w:tr>
      <w:tr>
        <w:tc>
          <w:tcPr/>
          <w:p>
            <w:pPr>
              <w:pStyle w:val="Compact"/>
            </w:pPr>
            <w:r>
              <w:t xml:space="preserve">XLMAXT</w:t>
            </w:r>
          </w:p>
        </w:tc>
        <w:tc>
          <w:tcPr/>
          <w:p>
            <w:pPr>
              <w:pStyle w:val="Compact"/>
            </w:pPr>
            <w:r>
              <w:rPr>
                <w:rStyle w:val="VerbatimChar"/>
              </w:rPr>
              <w:t xml:space="preserve">0, 4, 35, 40, 46, 55</w:t>
            </w:r>
          </w:p>
        </w:tc>
        <w:tc>
          <w:tcPr/>
          <w:p>
            <w:pPr>
              <w:pStyle w:val="Compact"/>
            </w:pPr>
            <w:r>
              <w:t xml:space="preserve">Calibrated 2026-04-13; Jmax Topt 35–40°C for C3 at elevated CO2</w:t>
            </w:r>
          </w:p>
        </w:tc>
      </w:tr>
      <w:tr>
        <w:tc>
          <w:tcPr/>
          <w:p>
            <w:pPr>
              <w:pStyle w:val="Compact"/>
            </w:pPr>
            <w:r>
              <w:t xml:space="preserve">YLMAXT</w:t>
            </w:r>
          </w:p>
        </w:tc>
        <w:tc>
          <w:tcPr/>
          <w:p>
            <w:pPr>
              <w:pStyle w:val="Compact"/>
            </w:pPr>
            <w:r>
              <w:rPr>
                <w:rStyle w:val="VerbatimChar"/>
              </w:rPr>
              <w:t xml:space="preserve">0, 0, 1.0, 0.8, 0, 0</w:t>
            </w:r>
          </w:p>
        </w:tc>
        <w:tc>
          <w:tcPr/>
          <w:p>
            <w:pPr>
              <w:pStyle w:val="Compact"/>
            </w:pPr>
            <w:r>
              <w:t xml:space="preserve">Y4=0.8 moderate decline above Topt; zero at 46°C (PSII damage)</w:t>
            </w:r>
          </w:p>
        </w:tc>
      </w:tr>
      <w:tr>
        <w:tc>
          <w:tcPr/>
          <w:p>
            <w:pPr>
              <w:pStyle w:val="Compact"/>
            </w:pPr>
            <w:r>
              <w:t xml:space="preserve">FNPGL</w:t>
            </w:r>
          </w:p>
        </w:tc>
        <w:tc>
          <w:tcPr/>
          <w:p>
            <w:pPr>
              <w:pStyle w:val="Compact"/>
            </w:pPr>
            <w:r>
              <w:rPr>
                <w:rStyle w:val="VerbatimChar"/>
              </w:rPr>
              <w:t xml:space="preserve">QDR(-6, 15, 50, 60)</w:t>
            </w:r>
          </w:p>
        </w:tc>
        <w:tc>
          <w:tcPr/>
          <w:p>
            <w:pPr>
              <w:pStyle w:val="Compact"/>
            </w:pPr>
            <w:r>
              <w:t xml:space="preserve">Chilling threshold raised 10→15°C (Kleinhenz &amp; Schnitzler, 2004)</w:t>
            </w:r>
          </w:p>
        </w:tc>
      </w:tr>
      <w:tr>
        <w:tc>
          <w:tcPr/>
          <w:p>
            <w:pPr>
              <w:pStyle w:val="Compact"/>
            </w:pPr>
            <w:r>
              <w:t xml:space="preserve">FNPGT</w:t>
            </w:r>
          </w:p>
        </w:tc>
        <w:tc>
          <w:tcPr/>
          <w:p>
            <w:pPr>
              <w:pStyle w:val="Compact"/>
            </w:pPr>
            <w:r>
              <w:rPr>
                <w:rStyle w:val="VerbatimChar"/>
              </w:rPr>
              <w:t xml:space="preserve">LIN(2, 12, 28, 42)</w:t>
            </w:r>
          </w:p>
        </w:tc>
        <w:tc>
          <w:tcPr/>
          <w:p>
            <w:pPr>
              <w:pStyle w:val="Compact"/>
            </w:pPr>
            <w:r>
              <w:t xml:space="preserve">Inactive for PHOTO=L; retained for canopy option compatibility</w:t>
            </w:r>
          </w:p>
        </w:tc>
      </w:tr>
      <w:tr>
        <w:tc>
          <w:tcPr/>
          <w:p>
            <w:pPr>
              <w:pStyle w:val="Compact"/>
            </w:pPr>
            <w:r>
              <w:t xml:space="preserve">FNPGN1</w:t>
            </w:r>
          </w:p>
        </w:tc>
        <w:tc>
          <w:tcPr/>
          <w:p>
            <w:pPr>
              <w:pStyle w:val="Compact"/>
            </w:pPr>
            <w:r>
              <w:t xml:space="preserve">1.04</w:t>
            </w:r>
          </w:p>
        </w:tc>
        <w:tc>
          <w:tcPr/>
          <w:p>
            <w:pPr>
              <w:pStyle w:val="Compact"/>
            </w:pPr>
            <w:r>
              <w:t xml:space="preserve">Leaf N% zero-PG threshold; GLUE-calibrated 2026-04-27 vs GTGA2401 (was 1.20)</w:t>
            </w:r>
          </w:p>
        </w:tc>
      </w:tr>
      <w:tr>
        <w:tc>
          <w:tcPr/>
          <w:p>
            <w:pPr>
              <w:pStyle w:val="Compact"/>
            </w:pPr>
            <w:r>
              <w:t xml:space="preserve">FNPGN2</w:t>
            </w:r>
          </w:p>
        </w:tc>
        <w:tc>
          <w:tcPr/>
          <w:p>
            <w:pPr>
              <w:pStyle w:val="Compact"/>
            </w:pPr>
            <w:r>
              <w:t xml:space="preserve">3.37</w:t>
            </w:r>
          </w:p>
        </w:tc>
        <w:tc>
          <w:tcPr/>
          <w:p>
            <w:pPr>
              <w:pStyle w:val="Compact"/>
            </w:pPr>
            <w:r>
              <w:t xml:space="preserve">Leaf N% at PG saturation; GLUE-calibrated 2026-04-27 vs GTGA2401 (was 3.50)</w:t>
            </w:r>
          </w:p>
        </w:tc>
      </w:tr>
      <w:tr>
        <w:tc>
          <w:tcPr/>
          <w:p>
            <w:pPr>
              <w:pStyle w:val="Compact"/>
            </w:pPr>
            <w:r>
              <w:t xml:space="preserve">PGEFF</w:t>
            </w:r>
          </w:p>
        </w:tc>
        <w:tc>
          <w:tcPr/>
          <w:p>
            <w:pPr>
              <w:pStyle w:val="Compact"/>
            </w:pPr>
            <w:r>
              <w:t xml:space="preserve">0.1470</w:t>
            </w:r>
          </w:p>
        </w:tc>
        <w:tc>
          <w:tcPr/>
          <w:p>
            <w:pPr>
              <w:pStyle w:val="Compact"/>
            </w:pPr>
            <w:r>
              <w:t xml:space="preserve">Radiation use efficiency scalar</w:t>
            </w:r>
          </w:p>
        </w:tc>
      </w:tr>
      <w:tr>
        <w:tc>
          <w:tcPr/>
          <w:p>
            <w:pPr>
              <w:pStyle w:val="Compact"/>
            </w:pPr>
            <w:r>
              <w:t xml:space="preserve">LNREF</w:t>
            </w:r>
          </w:p>
        </w:tc>
        <w:tc>
          <w:tcPr/>
          <w:p>
            <w:pPr>
              <w:pStyle w:val="Compact"/>
            </w:pPr>
            <w:r>
              <w:t xml:space="preserve">2.54</w:t>
            </w:r>
          </w:p>
        </w:tc>
        <w:tc>
          <w:tcPr/>
          <w:p>
            <w:pPr>
              <w:pStyle w:val="Compact"/>
            </w:pPr>
            <w:r>
              <w:t xml:space="preserve">Leaf N% at which leaf Pmax saturates; updated 2026-04-27 (was 3.50)</w:t>
            </w:r>
          </w:p>
        </w:tc>
      </w:tr>
      <w:tr>
        <w:tc>
          <w:tcPr/>
          <w:p>
            <w:pPr>
              <w:pStyle w:val="Compact"/>
            </w:pPr>
            <w:r>
              <w:t xml:space="preserve">SLAREF</w:t>
            </w:r>
          </w:p>
        </w:tc>
        <w:tc>
          <w:tcPr/>
          <w:p>
            <w:pPr>
              <w:pStyle w:val="Compact"/>
            </w:pPr>
            <w:r>
              <w:t xml:space="preserve">296</w:t>
            </w:r>
          </w:p>
        </w:tc>
        <w:tc>
          <w:tcPr/>
          <w:p>
            <w:pPr>
              <w:pStyle w:val="Compact"/>
            </w:pPr>
            <w:r>
              <w:t xml:space="preserve">Reference SLA in SPE leaf growth section; updated 2026-04-27 (was 280)</w:t>
            </w:r>
          </w:p>
        </w:tc>
      </w:tr>
      <w:tr>
        <w:tc>
          <w:tcPr/>
          <w:p>
            <w:pPr>
              <w:pStyle w:val="Compact"/>
            </w:pPr>
            <w:r>
              <w:t xml:space="preserve">SLAMAX</w:t>
            </w:r>
          </w:p>
        </w:tc>
        <w:tc>
          <w:tcPr/>
          <w:p>
            <w:pPr>
              <w:pStyle w:val="Compact"/>
            </w:pPr>
            <w:r>
              <w:t xml:space="preserve">377</w:t>
            </w:r>
          </w:p>
        </w:tc>
        <w:tc>
          <w:tcPr/>
          <w:p>
            <w:pPr>
              <w:pStyle w:val="Compact"/>
            </w:pPr>
            <w:r>
              <w:t xml:space="preserve">Maximum SLA; updated 2026-04-27 (was 400)</w:t>
            </w:r>
          </w:p>
        </w:tc>
      </w:tr>
      <w:tr>
        <w:tc>
          <w:tcPr/>
          <w:p>
            <w:pPr>
              <w:pStyle w:val="Compact"/>
            </w:pPr>
            <w:r>
              <w:t xml:space="preserve">FINREF</w:t>
            </w:r>
          </w:p>
        </w:tc>
        <w:tc>
          <w:tcPr/>
          <w:p>
            <w:pPr>
              <w:pStyle w:val="Compact"/>
            </w:pPr>
            <w:r>
              <w:t xml:space="preserve">600</w:t>
            </w:r>
          </w:p>
        </w:tc>
        <w:tc>
          <w:tcPr/>
          <w:p>
            <w:pPr>
              <w:pStyle w:val="Compact"/>
            </w:pPr>
            <w:r>
              <w:t xml:space="preserve">Final leaf size reference; updated 2026-04-27 (was 420)</w:t>
            </w:r>
          </w:p>
        </w:tc>
      </w:tr>
      <w:tr>
        <w:tc>
          <w:tcPr/>
          <w:p>
            <w:pPr>
              <w:pStyle w:val="Compact"/>
            </w:pPr>
            <w:r>
              <w:t xml:space="preserve">PRORTI</w:t>
            </w:r>
          </w:p>
        </w:tc>
        <w:tc>
          <w:tcPr/>
          <w:p>
            <w:pPr>
              <w:pStyle w:val="Compact"/>
            </w:pPr>
            <w:r>
              <w:t xml:space="preserve">0.260</w:t>
            </w:r>
          </w:p>
        </w:tc>
        <w:tc>
          <w:tcPr/>
          <w:p>
            <w:pPr>
              <w:pStyle w:val="Compact"/>
            </w:pPr>
            <w:r>
              <w:t xml:space="preserve">Stable; 0.280 caused N-stress cascade</w:t>
            </w:r>
          </w:p>
        </w:tc>
      </w:tr>
    </w:tbl>
    <w:bookmarkEnd w:id="9"/>
    <w:bookmarkStart w:id="10" w:name="cul-parameters-lugro048.cul"/>
    <w:p>
      <w:pPr>
        <w:pStyle w:val="Heading3"/>
      </w:pPr>
      <w:r>
        <w:t xml:space="preserve">CUL Parameters (LUGRO048.CUL)</w:t>
      </w:r>
    </w:p>
    <w:tbl>
      <w:tblPr>
        <w:tblStyle w:val="Table"/>
        <w:tblW w:type="pct" w:w="5000"/>
        <w:tblLayout w:type="fixed"/>
        <w:tblLook w:firstRow="1" w:lastRow="0" w:firstColumn="0" w:lastColumn="0" w:noHBand="0" w:noVBand="0" w:val="0020"/>
      </w:tblPr>
      <w:tblGrid>
        <w:gridCol w:w="2200"/>
        <w:gridCol w:w="880"/>
        <w:gridCol w:w="1540"/>
        <w:gridCol w:w="1540"/>
        <w:gridCol w:w="1760"/>
      </w:tblGrid>
      <w:tr>
        <w:trPr>
          <w:tblHeader w:val="on"/>
        </w:trPr>
        <w:tc>
          <w:tcPr/>
          <w:p>
            <w:pPr>
              <w:pStyle w:val="Compact"/>
            </w:pPr>
            <w:r>
              <w:t xml:space="preserve">Cultivar</w:t>
            </w:r>
          </w:p>
        </w:tc>
        <w:tc>
          <w:tcPr/>
          <w:p>
            <w:pPr>
              <w:pStyle w:val="Compact"/>
            </w:pPr>
            <w:r>
              <w:t xml:space="preserve">ID</w:t>
            </w:r>
          </w:p>
        </w:tc>
        <w:tc>
          <w:tcPr/>
          <w:p>
            <w:pPr>
              <w:pStyle w:val="Compact"/>
            </w:pPr>
            <w:r>
              <w:t xml:space="preserve">LFMAX</w:t>
            </w:r>
          </w:p>
        </w:tc>
        <w:tc>
          <w:tcPr/>
          <w:p>
            <w:pPr>
              <w:pStyle w:val="Compact"/>
            </w:pPr>
            <w:r>
              <w:t xml:space="preserve">SLAVR</w:t>
            </w:r>
          </w:p>
        </w:tc>
        <w:tc>
          <w:tcPr/>
          <w:p>
            <w:pPr>
              <w:pStyle w:val="Compact"/>
            </w:pPr>
            <w:r>
              <w:t xml:space="preserve">Source</w:t>
            </w:r>
          </w:p>
        </w:tc>
      </w:tr>
      <w:tr>
        <w:tc>
          <w:tcPr/>
          <w:p>
            <w:pPr>
              <w:pStyle w:val="Compact"/>
            </w:pPr>
            <w:r>
              <w:t xml:space="preserve">SITONIA</w:t>
            </w:r>
          </w:p>
        </w:tc>
        <w:tc>
          <w:tcPr/>
          <w:p>
            <w:pPr>
              <w:pStyle w:val="Compact"/>
            </w:pPr>
            <w:r>
              <w:t xml:space="preserve">LU0004</w:t>
            </w:r>
          </w:p>
        </w:tc>
        <w:tc>
          <w:tcPr/>
          <w:p>
            <w:pPr>
              <w:pStyle w:val="Compact"/>
            </w:pPr>
            <w:r>
              <w:t xml:space="preserve">0.406</w:t>
            </w:r>
          </w:p>
        </w:tc>
        <w:tc>
          <w:tcPr/>
          <w:p>
            <w:pPr>
              <w:pStyle w:val="Compact"/>
            </w:pPr>
            <w:r>
              <w:t xml:space="preserve">187</w:t>
            </w:r>
          </w:p>
        </w:tc>
        <w:tc>
          <w:tcPr/>
          <w:p>
            <w:pPr>
              <w:pStyle w:val="Compact"/>
            </w:pPr>
            <w:r>
              <w:t xml:space="preserve">Calibrated to WAGA9101</w:t>
            </w:r>
          </w:p>
        </w:tc>
      </w:tr>
      <w:tr>
        <w:tc>
          <w:tcPr/>
          <w:p>
            <w:pPr>
              <w:pStyle w:val="Compact"/>
            </w:pPr>
            <w:r>
              <w:t xml:space="preserve">REX</w:t>
            </w:r>
          </w:p>
        </w:tc>
        <w:tc>
          <w:tcPr/>
          <w:p>
            <w:pPr>
              <w:pStyle w:val="Compact"/>
            </w:pPr>
            <w:r>
              <w:t xml:space="preserve">LU0001</w:t>
            </w:r>
          </w:p>
        </w:tc>
        <w:tc>
          <w:tcPr/>
          <w:p>
            <w:pPr>
              <w:pStyle w:val="Compact"/>
            </w:pPr>
            <w:r>
              <w:t xml:space="preserve">0.799</w:t>
            </w:r>
          </w:p>
        </w:tc>
        <w:tc>
          <w:tcPr/>
          <w:p>
            <w:pPr>
              <w:pStyle w:val="Compact"/>
            </w:pPr>
            <w:r>
              <w:t xml:space="preserve">398</w:t>
            </w:r>
          </w:p>
        </w:tc>
        <w:tc>
          <w:tcPr/>
          <w:p>
            <w:pPr>
              <w:pStyle w:val="Compact"/>
            </w:pPr>
            <w:r>
              <w:t xml:space="preserve">GLUE-calibrated vs UFGA2201</w:t>
            </w:r>
          </w:p>
        </w:tc>
      </w:tr>
      <w:tr>
        <w:tc>
          <w:tcPr/>
          <w:p>
            <w:pPr>
              <w:pStyle w:val="Compact"/>
            </w:pPr>
            <w:r>
              <w:t xml:space="preserve">MUIR</w:t>
            </w:r>
          </w:p>
        </w:tc>
        <w:tc>
          <w:tcPr/>
          <w:p>
            <w:pPr>
              <w:pStyle w:val="Compact"/>
            </w:pPr>
            <w:r>
              <w:t xml:space="preserve">LU0002</w:t>
            </w:r>
          </w:p>
        </w:tc>
        <w:tc>
          <w:tcPr/>
          <w:p>
            <w:pPr>
              <w:pStyle w:val="Compact"/>
            </w:pPr>
            <w:r>
              <w:t xml:space="preserve">0.728</w:t>
            </w:r>
          </w:p>
        </w:tc>
        <w:tc>
          <w:tcPr/>
          <w:p>
            <w:pPr>
              <w:pStyle w:val="Compact"/>
            </w:pPr>
            <w:r>
              <w:t xml:space="preserve">399</w:t>
            </w:r>
          </w:p>
        </w:tc>
        <w:tc>
          <w:tcPr/>
          <w:p>
            <w:pPr>
              <w:pStyle w:val="Compact"/>
            </w:pPr>
            <w:r>
              <w:t xml:space="preserve">GLUE-calibrated vs UFGA2201</w:t>
            </w:r>
          </w:p>
        </w:tc>
      </w:tr>
      <w:tr>
        <w:tc>
          <w:tcPr/>
          <w:p>
            <w:pPr>
              <w:pStyle w:val="Compact"/>
            </w:pPr>
            <w:r>
              <w:t xml:space="preserve">SKYPHOS</w:t>
            </w:r>
          </w:p>
        </w:tc>
        <w:tc>
          <w:tcPr/>
          <w:p>
            <w:pPr>
              <w:pStyle w:val="Compact"/>
            </w:pPr>
            <w:r>
              <w:t xml:space="preserve">LU0003</w:t>
            </w:r>
          </w:p>
        </w:tc>
        <w:tc>
          <w:tcPr/>
          <w:p>
            <w:pPr>
              <w:pStyle w:val="Compact"/>
            </w:pPr>
            <w:r>
              <w:t xml:space="preserve">0.923</w:t>
            </w:r>
          </w:p>
        </w:tc>
        <w:tc>
          <w:tcPr/>
          <w:p>
            <w:pPr>
              <w:pStyle w:val="Compact"/>
            </w:pPr>
            <w:r>
              <w:t xml:space="preserve">397</w:t>
            </w:r>
          </w:p>
        </w:tc>
        <w:tc>
          <w:tcPr/>
          <w:p>
            <w:pPr>
              <w:pStyle w:val="Compact"/>
            </w:pPr>
            <w:r>
              <w:t xml:space="preserve">GLUE-calibrated vs UFGA2201</w:t>
            </w:r>
          </w:p>
        </w:tc>
      </w:tr>
      <w:tr>
        <w:tc>
          <w:tcPr/>
          <w:p>
            <w:pPr>
              <w:pStyle w:val="Compact"/>
            </w:pPr>
            <w:r>
              <w:t xml:space="preserve">WALDMANNS_GR</w:t>
            </w:r>
          </w:p>
        </w:tc>
        <w:tc>
          <w:tcPr/>
          <w:p>
            <w:pPr>
              <w:pStyle w:val="Compact"/>
            </w:pPr>
            <w:r>
              <w:t xml:space="preserve">LU0202</w:t>
            </w:r>
          </w:p>
        </w:tc>
        <w:tc>
          <w:tcPr/>
          <w:p>
            <w:pPr>
              <w:pStyle w:val="Compact"/>
            </w:pPr>
            <w:r>
              <w:t xml:space="preserve">1.020</w:t>
            </w:r>
          </w:p>
        </w:tc>
        <w:tc>
          <w:tcPr/>
          <w:p>
            <w:pPr>
              <w:pStyle w:val="Compact"/>
            </w:pPr>
            <w:r>
              <w:t xml:space="preserve">344</w:t>
            </w:r>
          </w:p>
        </w:tc>
        <w:tc>
          <w:tcPr/>
          <w:p>
            <w:pPr>
              <w:pStyle w:val="Compact"/>
            </w:pPr>
            <w:r>
              <w:t xml:space="preserve">Initial estimate</w:t>
            </w:r>
          </w:p>
        </w:tc>
      </w:tr>
      <w:tr>
        <w:tc>
          <w:tcPr/>
          <w:p>
            <w:pPr>
              <w:pStyle w:val="Compact"/>
            </w:pPr>
            <w:r>
              <w:t xml:space="preserve">BG23-1251</w:t>
            </w:r>
          </w:p>
        </w:tc>
        <w:tc>
          <w:tcPr/>
          <w:p>
            <w:pPr>
              <w:pStyle w:val="Compact"/>
            </w:pPr>
            <w:r>
              <w:t xml:space="preserve">LU0201</w:t>
            </w:r>
          </w:p>
        </w:tc>
        <w:tc>
          <w:tcPr/>
          <w:p>
            <w:pPr>
              <w:pStyle w:val="Compact"/>
            </w:pPr>
            <w:r>
              <w:t xml:space="preserve">1.029</w:t>
            </w:r>
          </w:p>
        </w:tc>
        <w:tc>
          <w:tcPr/>
          <w:p>
            <w:pPr>
              <w:pStyle w:val="Compact"/>
            </w:pPr>
            <w:r>
              <w:t xml:space="preserve">398</w:t>
            </w:r>
          </w:p>
        </w:tc>
        <w:tc>
          <w:tcPr/>
          <w:p>
            <w:pPr>
              <w:pStyle w:val="Compact"/>
            </w:pPr>
            <w:r>
              <w:t xml:space="preserve">Initial estimate</w:t>
            </w:r>
          </w:p>
        </w:tc>
      </w:tr>
      <w:tr>
        <w:tc>
          <w:tcPr/>
          <w:p>
            <w:pPr>
              <w:pStyle w:val="Compact"/>
            </w:pPr>
            <w:r>
              <w:t xml:space="preserve">BIBB</w:t>
            </w:r>
          </w:p>
        </w:tc>
        <w:tc>
          <w:tcPr/>
          <w:p>
            <w:pPr>
              <w:pStyle w:val="Compact"/>
            </w:pPr>
            <w:r>
              <w:t xml:space="preserve">LU0301</w:t>
            </w:r>
          </w:p>
        </w:tc>
        <w:tc>
          <w:tcPr/>
          <w:p>
            <w:pPr>
              <w:pStyle w:val="Compact"/>
            </w:pPr>
            <w:r>
              <w:t xml:space="preserve">1.472</w:t>
            </w:r>
          </w:p>
        </w:tc>
        <w:tc>
          <w:tcPr/>
          <w:p>
            <w:pPr>
              <w:pStyle w:val="Compact"/>
            </w:pPr>
            <w:r>
              <w:t xml:space="preserve">308</w:t>
            </w:r>
          </w:p>
        </w:tc>
        <w:tc>
          <w:tcPr/>
          <w:p>
            <w:pPr>
              <w:pStyle w:val="Compact"/>
            </w:pPr>
            <w:r>
              <w:t xml:space="preserve">GLUE-calibrated 2026-04-27 vs GTGA2401 (all 6 N treatments)</w:t>
            </w:r>
          </w:p>
        </w:tc>
      </w:tr>
    </w:tbl>
    <w:bookmarkEnd w:id="10"/>
    <w:bookmarkStart w:id="11" w:name="current-performance-summary"/>
    <w:p>
      <w:pPr>
        <w:pStyle w:val="Heading3"/>
      </w:pPr>
      <w:r>
        <w:t xml:space="preserve">Current Performance Summary</w:t>
      </w:r>
    </w:p>
    <w:tbl>
      <w:tblPr>
        <w:tblStyle w:val="Table"/>
        <w:tblW w:type="pct" w:w="5000"/>
        <w:tblLayout w:type="fixed"/>
        <w:tblLook w:firstRow="1" w:lastRow="0" w:firstColumn="0" w:lastColumn="0" w:noHBand="0" w:noVBand="0" w:val="0020"/>
      </w:tblPr>
      <w:tblGrid>
        <w:gridCol w:w="4148"/>
        <w:gridCol w:w="1131"/>
        <w:gridCol w:w="2640"/>
      </w:tblGrid>
      <w:tr>
        <w:trPr>
          <w:tblHeader w:val="on"/>
        </w:trPr>
        <w:tc>
          <w:tcPr/>
          <w:p>
            <w:pPr>
              <w:pStyle w:val="Compact"/>
            </w:pPr>
            <w:r>
              <w:t xml:space="preserve">Experiment</w:t>
            </w:r>
          </w:p>
        </w:tc>
        <w:tc>
          <w:tcPr/>
          <w:p>
            <w:pPr>
              <w:pStyle w:val="Compact"/>
            </w:pPr>
            <w:r>
              <w:t xml:space="preserve">n</w:t>
            </w:r>
          </w:p>
        </w:tc>
        <w:tc>
          <w:tcPr/>
          <w:p>
            <w:pPr>
              <w:pStyle w:val="Compact"/>
            </w:pPr>
            <w:r>
              <w:t xml:space="preserve">Notes</w:t>
            </w:r>
          </w:p>
        </w:tc>
      </w:tr>
      <w:tr>
        <w:tc>
          <w:tcPr/>
          <w:p>
            <w:pPr>
              <w:pStyle w:val="Compact"/>
            </w:pPr>
            <w:r>
              <w:t xml:space="preserve">WAGA9101 trt1 CWAD</w:t>
            </w:r>
          </w:p>
        </w:tc>
        <w:tc>
          <w:tcPr/>
          <w:p>
            <w:pPr>
              <w:pStyle w:val="Compact"/>
            </w:pPr>
            <w:r>
              <w:t xml:space="preserve">7 time points</w:t>
            </w:r>
          </w:p>
        </w:tc>
        <w:tc>
          <w:tcPr/>
          <w:p>
            <w:pPr>
              <w:pStyle w:val="Compact"/>
            </w:pPr>
            <w:r>
              <w:t xml:space="preserve">+5.2% at harvest ✓</w:t>
            </w:r>
          </w:p>
        </w:tc>
      </w:tr>
      <w:tr>
        <w:tc>
          <w:tcPr/>
          <w:p>
            <w:pPr>
              <w:pStyle w:val="Compact"/>
            </w:pPr>
            <w:r>
              <w:t xml:space="preserve">UFGA2201 harvest CWAM</w:t>
            </w:r>
          </w:p>
        </w:tc>
        <w:tc>
          <w:tcPr/>
          <w:p>
            <w:pPr>
              <w:pStyle w:val="Compact"/>
            </w:pPr>
            <w:r>
              <w:t xml:space="preserve">12 treatments</w:t>
            </w:r>
          </w:p>
        </w:tc>
        <w:tc>
          <w:tcPr/>
          <w:p>
            <w:pPr>
              <w:pStyle w:val="Compact"/>
            </w:pPr>
            <w:r>
              <w:t xml:space="preserve">See table below; 24°C fits well, 26–30°C underpredicted</w:t>
            </w:r>
          </w:p>
        </w:tc>
      </w:tr>
      <w:tr>
        <w:tc>
          <w:tcPr/>
          <w:p>
            <w:pPr>
              <w:pStyle w:val="Compact"/>
            </w:pPr>
            <w:r>
              <w:t xml:space="preserve">GTGA2401 harvest CWAM</w:t>
            </w:r>
          </w:p>
        </w:tc>
        <w:tc>
          <w:tcPr/>
          <w:p>
            <w:pPr>
              <w:pStyle w:val="Compact"/>
            </w:pPr>
            <w:r>
              <w:t xml:space="preserve">6 N treatments</w:t>
            </w:r>
          </w:p>
        </w:tc>
        <w:tc>
          <w:tcPr/>
          <w:p>
            <w:pPr>
              <w:pStyle w:val="Compact"/>
            </w:pPr>
            <w:r>
              <w:t xml:space="preserve">See table below; GLUE-calibrated BIBB</w:t>
            </w:r>
          </w:p>
        </w:tc>
      </w:tr>
    </w:tbl>
    <w:bookmarkEnd w:id="11"/>
    <w:bookmarkStart w:id="12" w:name="X0369f36fb24bc41b558baa67dc478c38bb1a79e"/>
    <w:p>
      <w:pPr>
        <w:pStyle w:val="Heading3"/>
      </w:pPr>
      <w:r>
        <w:t xml:space="preserve">GTGA2401 Harvest CWAM — BIBB, Georgia Tech, DAT32 (kg/ha)</w:t>
      </w:r>
    </w:p>
    <w:p>
      <w:pPr>
        <w:pStyle w:val="FirstParagraph"/>
      </w:pPr>
      <w:r>
        <w:t xml:space="preserve">Experiment: Sharkey et al. (2024), 6 N-levels, 16 plants/m², 21.5°C constant, 12h LED, ambient CO2.</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TRT</w:t>
            </w:r>
          </w:p>
        </w:tc>
        <w:tc>
          <w:tcPr/>
          <w:p>
            <w:pPr>
              <w:pStyle w:val="Compact"/>
            </w:pPr>
            <w:r>
              <w:t xml:space="preserve">N (mg/L)</w:t>
            </w:r>
          </w:p>
        </w:tc>
        <w:tc>
          <w:tcPr/>
          <w:p>
            <w:pPr>
              <w:pStyle w:val="Compact"/>
            </w:pPr>
            <w:r>
              <w:t xml:space="preserve">Sim</w:t>
            </w:r>
          </w:p>
        </w:tc>
        <w:tc>
          <w:tcPr/>
          <w:p>
            <w:pPr>
              <w:pStyle w:val="Compact"/>
            </w:pPr>
            <w:r>
              <w:t xml:space="preserve">Obs</w:t>
            </w:r>
          </w:p>
        </w:tc>
        <w:tc>
          <w:tcPr/>
          <w:p>
            <w:pPr>
              <w:pStyle w:val="Compact"/>
            </w:pPr>
            <w:r>
              <w:t xml:space="preserve">Bias</w:t>
            </w:r>
          </w:p>
        </w:tc>
        <w:tc>
          <w:tcPr/>
          <w:p>
            <w:pPr>
              <w:pStyle w:val="Compact"/>
            </w:pPr>
            <w:r>
              <w:t xml:space="preserve">Notes</w:t>
            </w:r>
          </w:p>
        </w:tc>
      </w:tr>
      <w:tr>
        <w:tc>
          <w:tcPr/>
          <w:p>
            <w:pPr>
              <w:pStyle w:val="Compact"/>
            </w:pPr>
            <w:r>
              <w:t xml:space="preserve">T1</w:t>
            </w:r>
          </w:p>
        </w:tc>
        <w:tc>
          <w:tcPr/>
          <w:p>
            <w:pPr>
              <w:pStyle w:val="Compact"/>
            </w:pPr>
            <w:r>
              <w:t xml:space="preserve">10.6</w:t>
            </w:r>
          </w:p>
        </w:tc>
        <w:tc>
          <w:tcPr/>
          <w:p>
            <w:pPr>
              <w:pStyle w:val="Compact"/>
            </w:pPr>
            <w:r>
              <w:t xml:space="preserve">~115</w:t>
            </w:r>
          </w:p>
        </w:tc>
        <w:tc>
          <w:tcPr/>
          <w:p>
            <w:pPr>
              <w:pStyle w:val="Compact"/>
            </w:pPr>
            <w:r>
              <w:t xml:space="preserve">~120</w:t>
            </w:r>
          </w:p>
        </w:tc>
        <w:tc>
          <w:tcPr/>
          <w:p>
            <w:pPr>
              <w:pStyle w:val="Compact"/>
            </w:pPr>
            <w:r>
              <w:t xml:space="preserve">−4%</w:t>
            </w:r>
          </w:p>
        </w:tc>
        <w:tc>
          <w:tcPr/>
          <w:p>
            <w:pPr>
              <w:pStyle w:val="Compact"/>
            </w:pPr>
            <w:r>
              <w:t xml:space="preserve">✓</w:t>
            </w:r>
          </w:p>
        </w:tc>
      </w:tr>
      <w:tr>
        <w:tc>
          <w:tcPr/>
          <w:p>
            <w:pPr>
              <w:pStyle w:val="Compact"/>
            </w:pPr>
            <w:r>
              <w:t xml:space="preserve">T2</w:t>
            </w:r>
          </w:p>
        </w:tc>
        <w:tc>
          <w:tcPr/>
          <w:p>
            <w:pPr>
              <w:pStyle w:val="Compact"/>
            </w:pPr>
            <w:r>
              <w:t xml:space="preserve">25</w:t>
            </w:r>
          </w:p>
        </w:tc>
        <w:tc>
          <w:tcPr/>
          <w:p>
            <w:pPr>
              <w:pStyle w:val="Compact"/>
            </w:pPr>
            <w:r>
              <w:t xml:space="preserve">~130</w:t>
            </w:r>
          </w:p>
        </w:tc>
        <w:tc>
          <w:tcPr/>
          <w:p>
            <w:pPr>
              <w:pStyle w:val="Compact"/>
            </w:pPr>
            <w:r>
              <w:t xml:space="preserve">~120</w:t>
            </w:r>
          </w:p>
        </w:tc>
        <w:tc>
          <w:tcPr/>
          <w:p>
            <w:pPr>
              <w:pStyle w:val="Compact"/>
            </w:pPr>
            <w:r>
              <w:t xml:space="preserve">+8%</w:t>
            </w:r>
          </w:p>
        </w:tc>
        <w:tc>
          <w:tcPr/>
          <w:p>
            <w:pPr>
              <w:pStyle w:val="Compact"/>
            </w:pPr>
            <w:r>
              <w:t xml:space="preserve">✓</w:t>
            </w:r>
          </w:p>
        </w:tc>
      </w:tr>
      <w:tr>
        <w:tc>
          <w:tcPr/>
          <w:p>
            <w:pPr>
              <w:pStyle w:val="Compact"/>
            </w:pPr>
            <w:r>
              <w:t xml:space="preserve">T3</w:t>
            </w:r>
          </w:p>
        </w:tc>
        <w:tc>
          <w:tcPr/>
          <w:p>
            <w:pPr>
              <w:pStyle w:val="Compact"/>
            </w:pPr>
            <w:r>
              <w:t xml:space="preserve">33</w:t>
            </w:r>
          </w:p>
        </w:tc>
        <w:tc>
          <w:tcPr/>
          <w:p>
            <w:pPr>
              <w:pStyle w:val="Compact"/>
            </w:pPr>
            <w:r>
              <w:t xml:space="preserve">~152</w:t>
            </w:r>
          </w:p>
        </w:tc>
        <w:tc>
          <w:tcPr/>
          <w:p>
            <w:pPr>
              <w:pStyle w:val="Compact"/>
            </w:pPr>
            <w:r>
              <w:t xml:space="preserve">~140</w:t>
            </w:r>
          </w:p>
        </w:tc>
        <w:tc>
          <w:tcPr/>
          <w:p>
            <w:pPr>
              <w:pStyle w:val="Compact"/>
            </w:pPr>
            <w:r>
              <w:t xml:space="preserve">+9%</w:t>
            </w:r>
          </w:p>
        </w:tc>
        <w:tc>
          <w:tcPr/>
          <w:p>
            <w:pPr>
              <w:pStyle w:val="Compact"/>
            </w:pPr>
            <w:r>
              <w:t xml:space="preserve">✓</w:t>
            </w:r>
          </w:p>
        </w:tc>
      </w:tr>
      <w:tr>
        <w:tc>
          <w:tcPr/>
          <w:p>
            <w:pPr>
              <w:pStyle w:val="Compact"/>
            </w:pPr>
            <w:r>
              <w:t xml:space="preserve">T4</w:t>
            </w:r>
          </w:p>
        </w:tc>
        <w:tc>
          <w:tcPr/>
          <w:p>
            <w:pPr>
              <w:pStyle w:val="Compact"/>
            </w:pPr>
            <w:r>
              <w:t xml:space="preserve">66</w:t>
            </w:r>
          </w:p>
        </w:tc>
        <w:tc>
          <w:tcPr/>
          <w:p>
            <w:pPr>
              <w:pStyle w:val="Compact"/>
            </w:pPr>
            <w:r>
              <w:t xml:space="preserve">~189</w:t>
            </w:r>
          </w:p>
        </w:tc>
        <w:tc>
          <w:tcPr/>
          <w:p>
            <w:pPr>
              <w:pStyle w:val="Compact"/>
            </w:pPr>
            <w:r>
              <w:t xml:space="preserve">~150</w:t>
            </w:r>
          </w:p>
        </w:tc>
        <w:tc>
          <w:tcPr/>
          <w:p>
            <w:pPr>
              <w:pStyle w:val="Compact"/>
            </w:pPr>
            <w:r>
              <w:t xml:space="preserve">+26%</w:t>
            </w:r>
          </w:p>
        </w:tc>
        <w:tc>
          <w:tcPr/>
          <w:p>
            <w:pPr>
              <w:pStyle w:val="Compact"/>
            </w:pPr>
            <w:r>
              <w:t xml:space="preserve">Remaining gap; shallow N-stress curve</w:t>
            </w:r>
          </w:p>
        </w:tc>
      </w:tr>
      <w:tr>
        <w:tc>
          <w:tcPr/>
          <w:p>
            <w:pPr>
              <w:pStyle w:val="Compact"/>
            </w:pPr>
            <w:r>
              <w:t xml:space="preserve">T5</w:t>
            </w:r>
          </w:p>
        </w:tc>
        <w:tc>
          <w:tcPr/>
          <w:p>
            <w:pPr>
              <w:pStyle w:val="Compact"/>
            </w:pPr>
            <w:r>
              <w:t xml:space="preserve">132</w:t>
            </w:r>
          </w:p>
        </w:tc>
        <w:tc>
          <w:tcPr/>
          <w:p>
            <w:pPr>
              <w:pStyle w:val="Compact"/>
            </w:pPr>
            <w:r>
              <w:t xml:space="preserve">~194</w:t>
            </w:r>
          </w:p>
        </w:tc>
        <w:tc>
          <w:tcPr/>
          <w:p>
            <w:pPr>
              <w:pStyle w:val="Compact"/>
            </w:pPr>
            <w:r>
              <w:t xml:space="preserve">~210</w:t>
            </w:r>
          </w:p>
        </w:tc>
        <w:tc>
          <w:tcPr/>
          <w:p>
            <w:pPr>
              <w:pStyle w:val="Compact"/>
            </w:pPr>
            <w:r>
              <w:t xml:space="preserve">−8%</w:t>
            </w:r>
          </w:p>
        </w:tc>
        <w:tc>
          <w:tcPr/>
          <w:p>
            <w:pPr>
              <w:pStyle w:val="Compact"/>
            </w:pPr>
            <w:r>
              <w:t xml:space="preserve">✓ Optimal N</w:t>
            </w:r>
          </w:p>
        </w:tc>
      </w:tr>
      <w:tr>
        <w:tc>
          <w:tcPr/>
          <w:p>
            <w:pPr>
              <w:pStyle w:val="Compact"/>
            </w:pPr>
            <w:r>
              <w:t xml:space="preserve">T6</w:t>
            </w:r>
          </w:p>
        </w:tc>
        <w:tc>
          <w:tcPr/>
          <w:p>
            <w:pPr>
              <w:pStyle w:val="Compact"/>
            </w:pPr>
            <w:r>
              <w:t xml:space="preserve">264</w:t>
            </w:r>
          </w:p>
        </w:tc>
        <w:tc>
          <w:tcPr/>
          <w:p>
            <w:pPr>
              <w:pStyle w:val="Compact"/>
            </w:pPr>
            <w:r>
              <w:t xml:space="preserve">~215</w:t>
            </w:r>
          </w:p>
        </w:tc>
        <w:tc>
          <w:tcPr/>
          <w:p>
            <w:pPr>
              <w:pStyle w:val="Compact"/>
            </w:pPr>
            <w:r>
              <w:t xml:space="preserve">~200</w:t>
            </w:r>
          </w:p>
        </w:tc>
        <w:tc>
          <w:tcPr/>
          <w:p>
            <w:pPr>
              <w:pStyle w:val="Compact"/>
            </w:pPr>
            <w:r>
              <w:t xml:space="preserve">+8%</w:t>
            </w:r>
          </w:p>
        </w:tc>
        <w:tc>
          <w:tcPr/>
          <w:p>
            <w:pPr>
              <w:pStyle w:val="Compact"/>
            </w:pPr>
            <w:r>
              <w:t xml:space="preserve">✓</w:t>
            </w:r>
          </w:p>
        </w:tc>
      </w:tr>
    </w:tbl>
    <w:p>
      <w:pPr>
        <w:pStyle w:val="BodyText"/>
      </w:pPr>
      <w:r>
        <w:rPr>
          <w:i/>
          <w:iCs/>
        </w:rPr>
        <w:t xml:space="preserve">Units: kg/ha (= g/m²). FNPGN1=1.04, FNPGN2=3.37 calibrated across all 6 treatments. T4 remaining +26% gap reflects shallow modeled N-stress response between T1 and T5.</w:t>
      </w:r>
    </w:p>
    <w:bookmarkEnd w:id="12"/>
    <w:bookmarkStart w:id="13" w:name="Xc845045f456618a8f6bb201b7f306cd153786f4"/>
    <w:p>
      <w:pPr>
        <w:pStyle w:val="Heading3"/>
      </w:pPr>
      <w:r>
        <w:t xml:space="preserve">UFGA2201 Harvest CWAM (kg/ha) — with current SPE parameters</w:t>
      </w:r>
    </w:p>
    <w:tbl>
      <w:tblPr>
        <w:tblStyle w:val="Table"/>
        <w:tblW w:type="pct" w:w="5000"/>
        <w:tblLayout w:type="fixed"/>
        <w:tblLook w:firstRow="1" w:lastRow="0" w:firstColumn="0" w:lastColumn="0" w:noHBand="0" w:noVBand="0" w:val="0020"/>
      </w:tblPr>
      <w:tblGrid>
        <w:gridCol w:w="1777"/>
        <w:gridCol w:w="1131"/>
        <w:gridCol w:w="1131"/>
        <w:gridCol w:w="808"/>
        <w:gridCol w:w="808"/>
        <w:gridCol w:w="969"/>
        <w:gridCol w:w="1293"/>
      </w:tblGrid>
      <w:tr>
        <w:trPr>
          <w:tblHeader w:val="on"/>
        </w:trPr>
        <w:tc>
          <w:tcPr/>
          <w:p>
            <w:pPr>
              <w:pStyle w:val="Compact"/>
            </w:pPr>
            <w:r>
              <w:t xml:space="preserve">Treatment</w:t>
            </w:r>
          </w:p>
        </w:tc>
        <w:tc>
          <w:tcPr/>
          <w:p>
            <w:pPr>
              <w:pStyle w:val="Compact"/>
            </w:pPr>
            <w:r>
              <w:t xml:space="preserve">LFMAX</w:t>
            </w:r>
          </w:p>
        </w:tc>
        <w:tc>
          <w:tcPr/>
          <w:p>
            <w:pPr>
              <w:pStyle w:val="Compact"/>
            </w:pPr>
            <w:r>
              <w:t xml:space="preserve">SLAVR</w:t>
            </w:r>
          </w:p>
        </w:tc>
        <w:tc>
          <w:tcPr/>
          <w:p>
            <w:pPr>
              <w:pStyle w:val="Compact"/>
            </w:pPr>
            <w:r>
              <w:t xml:space="preserve">Sim</w:t>
            </w:r>
          </w:p>
        </w:tc>
        <w:tc>
          <w:tcPr/>
          <w:p>
            <w:pPr>
              <w:pStyle w:val="Compact"/>
            </w:pPr>
            <w:r>
              <w:t xml:space="preserve">Obs</w:t>
            </w:r>
          </w:p>
        </w:tc>
        <w:tc>
          <w:tcPr/>
          <w:p>
            <w:pPr>
              <w:pStyle w:val="Compact"/>
            </w:pPr>
            <w:r>
              <w:t xml:space="preserve">Bias</w:t>
            </w:r>
          </w:p>
        </w:tc>
        <w:tc>
          <w:tcPr/>
          <w:p>
            <w:pPr>
              <w:pStyle w:val="Compact"/>
            </w:pPr>
            <w:r>
              <w:t xml:space="preserve">Status</w:t>
            </w:r>
          </w:p>
        </w:tc>
      </w:tr>
      <w:tr>
        <w:tc>
          <w:tcPr/>
          <w:p>
            <w:pPr>
              <w:pStyle w:val="Compact"/>
            </w:pPr>
            <w:r>
              <w:t xml:space="preserve">Rex_24°C</w:t>
            </w:r>
          </w:p>
        </w:tc>
        <w:tc>
          <w:tcPr/>
          <w:p>
            <w:pPr>
              <w:pStyle w:val="Compact"/>
            </w:pPr>
            <w:r>
              <w:t xml:space="preserve">0.799</w:t>
            </w:r>
          </w:p>
        </w:tc>
        <w:tc>
          <w:tcPr/>
          <w:p>
            <w:pPr>
              <w:pStyle w:val="Compact"/>
            </w:pPr>
            <w:r>
              <w:t xml:space="preserve">398</w:t>
            </w:r>
          </w:p>
        </w:tc>
        <w:tc>
          <w:tcPr/>
          <w:p>
            <w:pPr>
              <w:pStyle w:val="Compact"/>
            </w:pPr>
            <w:r>
              <w:t xml:space="preserve">1027</w:t>
            </w:r>
          </w:p>
        </w:tc>
        <w:tc>
          <w:tcPr/>
          <w:p>
            <w:pPr>
              <w:pStyle w:val="Compact"/>
            </w:pPr>
            <w:r>
              <w:t xml:space="preserve">1091</w:t>
            </w:r>
          </w:p>
        </w:tc>
        <w:tc>
          <w:tcPr/>
          <w:p>
            <w:pPr>
              <w:pStyle w:val="Compact"/>
            </w:pPr>
            <w:r>
              <w:t xml:space="preserve">−6%</w:t>
            </w:r>
          </w:p>
        </w:tc>
        <w:tc>
          <w:tcPr/>
          <w:p>
            <w:pPr>
              <w:pStyle w:val="Compact"/>
            </w:pPr>
            <w:r>
              <w:t xml:space="preserve">✓</w:t>
            </w:r>
          </w:p>
        </w:tc>
      </w:tr>
      <w:tr>
        <w:tc>
          <w:tcPr/>
          <w:p>
            <w:pPr>
              <w:pStyle w:val="Compact"/>
            </w:pPr>
            <w:r>
              <w:t xml:space="preserve">Rex_26°C</w:t>
            </w:r>
          </w:p>
        </w:tc>
        <w:tc>
          <w:tcPr/>
          <w:p>
            <w:pPr>
              <w:pStyle w:val="Compact"/>
            </w:pPr>
            <w:r>
              <w:t xml:space="preserve">0.799</w:t>
            </w:r>
          </w:p>
        </w:tc>
        <w:tc>
          <w:tcPr/>
          <w:p>
            <w:pPr>
              <w:pStyle w:val="Compact"/>
            </w:pPr>
            <w:r>
              <w:t xml:space="preserve">398</w:t>
            </w:r>
          </w:p>
        </w:tc>
        <w:tc>
          <w:tcPr/>
          <w:p>
            <w:pPr>
              <w:pStyle w:val="Compact"/>
            </w:pPr>
            <w:r>
              <w:t xml:space="preserve">811</w:t>
            </w:r>
          </w:p>
        </w:tc>
        <w:tc>
          <w:tcPr/>
          <w:p>
            <w:pPr>
              <w:pStyle w:val="Compact"/>
            </w:pPr>
            <w:r>
              <w:t xml:space="preserve">1121</w:t>
            </w:r>
          </w:p>
        </w:tc>
        <w:tc>
          <w:tcPr/>
          <w:p>
            <w:pPr>
              <w:pStyle w:val="Compact"/>
            </w:pPr>
            <w:r>
              <w:t xml:space="preserve">−28%</w:t>
            </w:r>
          </w:p>
        </w:tc>
        <w:tc>
          <w:tcPr/>
          <w:p>
            <w:pPr>
              <w:pStyle w:val="Compact"/>
            </w:pPr>
            <w:r>
              <w:t xml:space="preserve">Temperature response underprediction</w:t>
            </w:r>
          </w:p>
        </w:tc>
      </w:tr>
      <w:tr>
        <w:tc>
          <w:tcPr/>
          <w:p>
            <w:pPr>
              <w:pStyle w:val="Compact"/>
            </w:pPr>
            <w:r>
              <w:t xml:space="preserve">Rex_28°C</w:t>
            </w:r>
          </w:p>
        </w:tc>
        <w:tc>
          <w:tcPr/>
          <w:p>
            <w:pPr>
              <w:pStyle w:val="Compact"/>
            </w:pPr>
            <w:r>
              <w:t xml:space="preserve">0.799</w:t>
            </w:r>
          </w:p>
        </w:tc>
        <w:tc>
          <w:tcPr/>
          <w:p>
            <w:pPr>
              <w:pStyle w:val="Compact"/>
            </w:pPr>
            <w:r>
              <w:t xml:space="preserve">398</w:t>
            </w:r>
          </w:p>
        </w:tc>
        <w:tc>
          <w:tcPr/>
          <w:p>
            <w:pPr>
              <w:pStyle w:val="Compact"/>
            </w:pPr>
            <w:r>
              <w:t xml:space="preserve">1084</w:t>
            </w:r>
          </w:p>
        </w:tc>
        <w:tc>
          <w:tcPr/>
          <w:p>
            <w:pPr>
              <w:pStyle w:val="Compact"/>
            </w:pPr>
            <w:r>
              <w:t xml:space="preserve">1420</w:t>
            </w:r>
          </w:p>
        </w:tc>
        <w:tc>
          <w:tcPr/>
          <w:p>
            <w:pPr>
              <w:pStyle w:val="Compact"/>
            </w:pPr>
            <w:r>
              <w:t xml:space="preserve">−24%</w:t>
            </w:r>
          </w:p>
        </w:tc>
        <w:tc>
          <w:tcPr/>
          <w:p>
            <w:pPr>
              <w:pStyle w:val="Compact"/>
            </w:pPr>
            <w:r>
              <w:t xml:space="preserve">Temperature response underprediction</w:t>
            </w:r>
          </w:p>
        </w:tc>
      </w:tr>
      <w:tr>
        <w:tc>
          <w:tcPr/>
          <w:p>
            <w:pPr>
              <w:pStyle w:val="Compact"/>
            </w:pPr>
            <w:r>
              <w:t xml:space="preserve">Rex_30°C</w:t>
            </w:r>
          </w:p>
        </w:tc>
        <w:tc>
          <w:tcPr/>
          <w:p>
            <w:pPr>
              <w:pStyle w:val="Compact"/>
            </w:pPr>
            <w:r>
              <w:t xml:space="preserve">0.799</w:t>
            </w:r>
          </w:p>
        </w:tc>
        <w:tc>
          <w:tcPr/>
          <w:p>
            <w:pPr>
              <w:pStyle w:val="Compact"/>
            </w:pPr>
            <w:r>
              <w:t xml:space="preserve">398</w:t>
            </w:r>
          </w:p>
        </w:tc>
        <w:tc>
          <w:tcPr/>
          <w:p>
            <w:pPr>
              <w:pStyle w:val="Compact"/>
            </w:pPr>
            <w:r>
              <w:t xml:space="preserve">883</w:t>
            </w:r>
          </w:p>
        </w:tc>
        <w:tc>
          <w:tcPr/>
          <w:p>
            <w:pPr>
              <w:pStyle w:val="Compact"/>
            </w:pPr>
            <w:r>
              <w:t xml:space="preserve">1427</w:t>
            </w:r>
          </w:p>
        </w:tc>
        <w:tc>
          <w:tcPr/>
          <w:p>
            <w:pPr>
              <w:pStyle w:val="Compact"/>
            </w:pPr>
            <w:r>
              <w:t xml:space="preserve">−38%</w:t>
            </w:r>
          </w:p>
        </w:tc>
        <w:tc>
          <w:tcPr/>
          <w:p>
            <w:pPr>
              <w:pStyle w:val="Compact"/>
            </w:pPr>
            <w:r>
              <w:t xml:space="preserve">Temperature response underprediction</w:t>
            </w:r>
          </w:p>
        </w:tc>
      </w:tr>
      <w:tr>
        <w:tc>
          <w:tcPr/>
          <w:p>
            <w:pPr>
              <w:pStyle w:val="Compact"/>
            </w:pPr>
            <w:r>
              <w:t xml:space="preserve">Muir_24°C</w:t>
            </w:r>
          </w:p>
        </w:tc>
        <w:tc>
          <w:tcPr/>
          <w:p>
            <w:pPr>
              <w:pStyle w:val="Compact"/>
            </w:pPr>
            <w:r>
              <w:t xml:space="preserve">0.728</w:t>
            </w:r>
          </w:p>
        </w:tc>
        <w:tc>
          <w:tcPr/>
          <w:p>
            <w:pPr>
              <w:pStyle w:val="Compact"/>
            </w:pPr>
            <w:r>
              <w:t xml:space="preserve">399</w:t>
            </w:r>
          </w:p>
        </w:tc>
        <w:tc>
          <w:tcPr/>
          <w:p>
            <w:pPr>
              <w:pStyle w:val="Compact"/>
            </w:pPr>
            <w:r>
              <w:t xml:space="preserve">849</w:t>
            </w:r>
          </w:p>
        </w:tc>
        <w:tc>
          <w:tcPr/>
          <w:p>
            <w:pPr>
              <w:pStyle w:val="Compact"/>
            </w:pPr>
            <w:r>
              <w:t xml:space="preserve">871</w:t>
            </w:r>
          </w:p>
        </w:tc>
        <w:tc>
          <w:tcPr/>
          <w:p>
            <w:pPr>
              <w:pStyle w:val="Compact"/>
            </w:pPr>
            <w:r>
              <w:t xml:space="preserve">−3%</w:t>
            </w:r>
          </w:p>
        </w:tc>
        <w:tc>
          <w:tcPr/>
          <w:p>
            <w:pPr>
              <w:pStyle w:val="Compact"/>
            </w:pPr>
            <w:r>
              <w:t xml:space="preserve">✓</w:t>
            </w:r>
          </w:p>
        </w:tc>
      </w:tr>
      <w:tr>
        <w:tc>
          <w:tcPr/>
          <w:p>
            <w:pPr>
              <w:pStyle w:val="Compact"/>
            </w:pPr>
            <w:r>
              <w:t xml:space="preserve">Muir_26°C</w:t>
            </w:r>
          </w:p>
        </w:tc>
        <w:tc>
          <w:tcPr/>
          <w:p>
            <w:pPr>
              <w:pStyle w:val="Compact"/>
            </w:pPr>
            <w:r>
              <w:t xml:space="preserve">0.728</w:t>
            </w:r>
          </w:p>
        </w:tc>
        <w:tc>
          <w:tcPr/>
          <w:p>
            <w:pPr>
              <w:pStyle w:val="Compact"/>
            </w:pPr>
            <w:r>
              <w:t xml:space="preserve">399</w:t>
            </w:r>
          </w:p>
        </w:tc>
        <w:tc>
          <w:tcPr/>
          <w:p>
            <w:pPr>
              <w:pStyle w:val="Compact"/>
            </w:pPr>
            <w:r>
              <w:t xml:space="preserve">669</w:t>
            </w:r>
          </w:p>
        </w:tc>
        <w:tc>
          <w:tcPr/>
          <w:p>
            <w:pPr>
              <w:pStyle w:val="Compact"/>
            </w:pPr>
            <w:r>
              <w:t xml:space="preserve">1093</w:t>
            </w:r>
          </w:p>
        </w:tc>
        <w:tc>
          <w:tcPr/>
          <w:p>
            <w:pPr>
              <w:pStyle w:val="Compact"/>
            </w:pPr>
            <w:r>
              <w:t xml:space="preserve">−39%</w:t>
            </w:r>
          </w:p>
        </w:tc>
        <w:tc>
          <w:tcPr/>
          <w:p>
            <w:pPr>
              <w:pStyle w:val="Compact"/>
            </w:pPr>
            <w:r>
              <w:t xml:space="preserve">Temperature response underprediction</w:t>
            </w:r>
          </w:p>
        </w:tc>
      </w:tr>
      <w:tr>
        <w:tc>
          <w:tcPr/>
          <w:p>
            <w:pPr>
              <w:pStyle w:val="Compact"/>
            </w:pPr>
            <w:r>
              <w:t xml:space="preserve">Muir_28°C</w:t>
            </w:r>
          </w:p>
        </w:tc>
        <w:tc>
          <w:tcPr/>
          <w:p>
            <w:pPr>
              <w:pStyle w:val="Compact"/>
            </w:pPr>
            <w:r>
              <w:t xml:space="preserve">0.728</w:t>
            </w:r>
          </w:p>
        </w:tc>
        <w:tc>
          <w:tcPr/>
          <w:p>
            <w:pPr>
              <w:pStyle w:val="Compact"/>
            </w:pPr>
            <w:r>
              <w:t xml:space="preserve">399</w:t>
            </w:r>
          </w:p>
        </w:tc>
        <w:tc>
          <w:tcPr/>
          <w:p>
            <w:pPr>
              <w:pStyle w:val="Compact"/>
            </w:pPr>
            <w:r>
              <w:t xml:space="preserve">939</w:t>
            </w:r>
          </w:p>
        </w:tc>
        <w:tc>
          <w:tcPr/>
          <w:p>
            <w:pPr>
              <w:pStyle w:val="Compact"/>
            </w:pPr>
            <w:r>
              <w:t xml:space="preserve">1165</w:t>
            </w:r>
          </w:p>
        </w:tc>
        <w:tc>
          <w:tcPr/>
          <w:p>
            <w:pPr>
              <w:pStyle w:val="Compact"/>
            </w:pPr>
            <w:r>
              <w:t xml:space="preserve">−19%</w:t>
            </w:r>
          </w:p>
        </w:tc>
        <w:tc>
          <w:tcPr/>
          <w:p>
            <w:pPr>
              <w:pStyle w:val="Compact"/>
            </w:pPr>
            <w:r>
              <w:t xml:space="preserve">Temperature response underprediction</w:t>
            </w:r>
          </w:p>
        </w:tc>
      </w:tr>
      <w:tr>
        <w:tc>
          <w:tcPr/>
          <w:p>
            <w:pPr>
              <w:pStyle w:val="Compact"/>
            </w:pPr>
            <w:r>
              <w:t xml:space="preserve">Muir_30°C</w:t>
            </w:r>
          </w:p>
        </w:tc>
        <w:tc>
          <w:tcPr/>
          <w:p>
            <w:pPr>
              <w:pStyle w:val="Compact"/>
            </w:pPr>
            <w:r>
              <w:t xml:space="preserve">0.728</w:t>
            </w:r>
          </w:p>
        </w:tc>
        <w:tc>
          <w:tcPr/>
          <w:p>
            <w:pPr>
              <w:pStyle w:val="Compact"/>
            </w:pPr>
            <w:r>
              <w:t xml:space="preserve">399</w:t>
            </w:r>
          </w:p>
        </w:tc>
        <w:tc>
          <w:tcPr/>
          <w:p>
            <w:pPr>
              <w:pStyle w:val="Compact"/>
            </w:pPr>
            <w:r>
              <w:t xml:space="preserve">736</w:t>
            </w:r>
          </w:p>
        </w:tc>
        <w:tc>
          <w:tcPr/>
          <w:p>
            <w:pPr>
              <w:pStyle w:val="Compact"/>
            </w:pPr>
            <w:r>
              <w:t xml:space="preserve">1377</w:t>
            </w:r>
          </w:p>
        </w:tc>
        <w:tc>
          <w:tcPr/>
          <w:p>
            <w:pPr>
              <w:pStyle w:val="Compact"/>
            </w:pPr>
            <w:r>
              <w:t xml:space="preserve">−47%</w:t>
            </w:r>
          </w:p>
        </w:tc>
        <w:tc>
          <w:tcPr/>
          <w:p>
            <w:pPr>
              <w:pStyle w:val="Compact"/>
            </w:pPr>
            <w:r>
              <w:t xml:space="preserve">Temperature response underprediction</w:t>
            </w:r>
          </w:p>
        </w:tc>
      </w:tr>
      <w:tr>
        <w:tc>
          <w:tcPr/>
          <w:p>
            <w:pPr>
              <w:pStyle w:val="Compact"/>
            </w:pPr>
            <w:r>
              <w:t xml:space="preserve">Skyphos_24°C</w:t>
            </w:r>
          </w:p>
        </w:tc>
        <w:tc>
          <w:tcPr/>
          <w:p>
            <w:pPr>
              <w:pStyle w:val="Compact"/>
            </w:pPr>
            <w:r>
              <w:t xml:space="preserve">0.923</w:t>
            </w:r>
          </w:p>
        </w:tc>
        <w:tc>
          <w:tcPr/>
          <w:p>
            <w:pPr>
              <w:pStyle w:val="Compact"/>
            </w:pPr>
            <w:r>
              <w:t xml:space="preserve">397</w:t>
            </w:r>
          </w:p>
        </w:tc>
        <w:tc>
          <w:tcPr/>
          <w:p>
            <w:pPr>
              <w:pStyle w:val="Compact"/>
            </w:pPr>
            <w:r>
              <w:t xml:space="preserve">1358</w:t>
            </w:r>
          </w:p>
        </w:tc>
        <w:tc>
          <w:tcPr/>
          <w:p>
            <w:pPr>
              <w:pStyle w:val="Compact"/>
            </w:pPr>
            <w:r>
              <w:t xml:space="preserve">1422</w:t>
            </w:r>
          </w:p>
        </w:tc>
        <w:tc>
          <w:tcPr/>
          <w:p>
            <w:pPr>
              <w:pStyle w:val="Compact"/>
            </w:pPr>
            <w:r>
              <w:t xml:space="preserve">−5%</w:t>
            </w:r>
          </w:p>
        </w:tc>
        <w:tc>
          <w:tcPr/>
          <w:p>
            <w:pPr>
              <w:pStyle w:val="Compact"/>
            </w:pPr>
            <w:r>
              <w:t xml:space="preserve">✓</w:t>
            </w:r>
          </w:p>
        </w:tc>
      </w:tr>
      <w:tr>
        <w:tc>
          <w:tcPr/>
          <w:p>
            <w:pPr>
              <w:pStyle w:val="Compact"/>
            </w:pPr>
            <w:r>
              <w:t xml:space="preserve">Skyphos_26°C</w:t>
            </w:r>
          </w:p>
        </w:tc>
        <w:tc>
          <w:tcPr/>
          <w:p>
            <w:pPr>
              <w:pStyle w:val="Compact"/>
            </w:pPr>
            <w:r>
              <w:t xml:space="preserve">0.923</w:t>
            </w:r>
          </w:p>
        </w:tc>
        <w:tc>
          <w:tcPr/>
          <w:p>
            <w:pPr>
              <w:pStyle w:val="Compact"/>
            </w:pPr>
            <w:r>
              <w:t xml:space="preserve">397</w:t>
            </w:r>
          </w:p>
        </w:tc>
        <w:tc>
          <w:tcPr/>
          <w:p>
            <w:pPr>
              <w:pStyle w:val="Compact"/>
            </w:pPr>
            <w:r>
              <w:t xml:space="preserve">1014</w:t>
            </w:r>
          </w:p>
        </w:tc>
        <w:tc>
          <w:tcPr/>
          <w:p>
            <w:pPr>
              <w:pStyle w:val="Compact"/>
            </w:pPr>
            <w:r>
              <w:t xml:space="preserve">1594</w:t>
            </w:r>
          </w:p>
        </w:tc>
        <w:tc>
          <w:tcPr/>
          <w:p>
            <w:pPr>
              <w:pStyle w:val="Compact"/>
            </w:pPr>
            <w:r>
              <w:t xml:space="preserve">−36%</w:t>
            </w:r>
          </w:p>
        </w:tc>
        <w:tc>
          <w:tcPr/>
          <w:p>
            <w:pPr>
              <w:pStyle w:val="Compact"/>
            </w:pPr>
            <w:r>
              <w:t xml:space="preserve">Temperature response underprediction</w:t>
            </w:r>
          </w:p>
        </w:tc>
      </w:tr>
      <w:tr>
        <w:tc>
          <w:tcPr/>
          <w:p>
            <w:pPr>
              <w:pStyle w:val="Compact"/>
            </w:pPr>
            <w:r>
              <w:t xml:space="preserve">Skyphos_28°C</w:t>
            </w:r>
          </w:p>
        </w:tc>
        <w:tc>
          <w:tcPr/>
          <w:p>
            <w:pPr>
              <w:pStyle w:val="Compact"/>
            </w:pPr>
            <w:r>
              <w:t xml:space="preserve">0.923</w:t>
            </w:r>
          </w:p>
        </w:tc>
        <w:tc>
          <w:tcPr/>
          <w:p>
            <w:pPr>
              <w:pStyle w:val="Compact"/>
            </w:pPr>
            <w:r>
              <w:t xml:space="preserve">397</w:t>
            </w:r>
          </w:p>
        </w:tc>
        <w:tc>
          <w:tcPr/>
          <w:p>
            <w:pPr>
              <w:pStyle w:val="Compact"/>
            </w:pPr>
            <w:r>
              <w:t xml:space="preserve">1423</w:t>
            </w:r>
          </w:p>
        </w:tc>
        <w:tc>
          <w:tcPr/>
          <w:p>
            <w:pPr>
              <w:pStyle w:val="Compact"/>
            </w:pPr>
            <w:r>
              <w:t xml:space="preserve">1677</w:t>
            </w:r>
          </w:p>
        </w:tc>
        <w:tc>
          <w:tcPr/>
          <w:p>
            <w:pPr>
              <w:pStyle w:val="Compact"/>
            </w:pPr>
            <w:r>
              <w:t xml:space="preserve">−15%</w:t>
            </w:r>
          </w:p>
        </w:tc>
        <w:tc>
          <w:tcPr/>
          <w:p>
            <w:pPr>
              <w:pStyle w:val="Compact"/>
            </w:pPr>
            <w:r>
              <w:t xml:space="preserve">Temperature response underprediction</w:t>
            </w:r>
          </w:p>
        </w:tc>
      </w:tr>
      <w:tr>
        <w:tc>
          <w:tcPr/>
          <w:p>
            <w:pPr>
              <w:pStyle w:val="Compact"/>
            </w:pPr>
            <w:r>
              <w:t xml:space="preserve">Skyphos_30°C</w:t>
            </w:r>
          </w:p>
        </w:tc>
        <w:tc>
          <w:tcPr/>
          <w:p>
            <w:pPr>
              <w:pStyle w:val="Compact"/>
            </w:pPr>
            <w:r>
              <w:t xml:space="preserve">0.923</w:t>
            </w:r>
          </w:p>
        </w:tc>
        <w:tc>
          <w:tcPr/>
          <w:p>
            <w:pPr>
              <w:pStyle w:val="Compact"/>
            </w:pPr>
            <w:r>
              <w:t xml:space="preserve">397</w:t>
            </w:r>
          </w:p>
        </w:tc>
        <w:tc>
          <w:tcPr/>
          <w:p>
            <w:pPr>
              <w:pStyle w:val="Compact"/>
            </w:pPr>
            <w:r>
              <w:t xml:space="preserve">1083</w:t>
            </w:r>
          </w:p>
        </w:tc>
        <w:tc>
          <w:tcPr/>
          <w:p>
            <w:pPr>
              <w:pStyle w:val="Compact"/>
            </w:pPr>
            <w:r>
              <w:t xml:space="preserve">1396</w:t>
            </w:r>
          </w:p>
        </w:tc>
        <w:tc>
          <w:tcPr/>
          <w:p>
            <w:pPr>
              <w:pStyle w:val="Compact"/>
            </w:pPr>
            <w:r>
              <w:t xml:space="preserve">−22%</w:t>
            </w:r>
          </w:p>
        </w:tc>
        <w:tc>
          <w:tcPr/>
          <w:p>
            <w:pPr>
              <w:pStyle w:val="Compact"/>
            </w:pPr>
            <w:r>
              <w:t xml:space="preserve">Temperature response underprediction</w:t>
            </w:r>
          </w:p>
        </w:tc>
      </w:tr>
    </w:tbl>
    <w:p>
      <w:pPr>
        <w:pStyle w:val="BodyText"/>
      </w:pPr>
      <w:r>
        <w:rPr>
          <w:i/>
          <w:iCs/>
        </w:rPr>
        <w:t xml:space="preserve">Note: 24°C fits well across all cultivars. 26–30°C systematically underpredicted. Points to XLMAXT/YLMAXT temperature response being too conservative in the 26–34°C range, or cultivar LFMAX needing further calibration. These LFMAX/SLAVR values are from a separate GLUE run vs UFGA2201 — the 24°C fit suggests correct SLA; the 26–30°C gap is a species-level temperature response issue.</w:t>
      </w:r>
    </w:p>
    <w:bookmarkEnd w:id="13"/>
    <w:bookmarkStart w:id="14" w:name="Xd0381c6f26c3f98d0b2289b52bb00419c7cd976"/>
    <w:p>
      <w:pPr>
        <w:pStyle w:val="Heading3"/>
      </w:pPr>
      <w:r>
        <w:t xml:space="preserve">Known Structural Limitations (Do Not Fix by Parameter Tuning)</w:t>
      </w:r>
    </w:p>
    <w:p>
      <w:pPr>
        <w:numPr>
          <w:ilvl w:val="0"/>
          <w:numId w:val="1001"/>
        </w:numPr>
      </w:pPr>
      <w:r>
        <w:rPr>
          <w:b/>
          <w:bCs/>
        </w:rPr>
        <w:t xml:space="preserve">Day-length confound:</w:t>
      </w:r>
      <w:r>
        <w:t xml:space="preserve"> </w:t>
      </w:r>
      <w:r>
        <w:t xml:space="preserve">Real experiments used constant 16.5h LED photoperiod. DSSAT uses ambient day length from the outdoor weather station. Treatments placed in different months to achieve target temperatures inadvertently bring different day lengths (11.8–13.5h). This causes systematic under/over-prediction correlated with planting month, not temperature response.</w:t>
      </w:r>
      <w:r>
        <w:t xml:space="preserve"> </w:t>
      </w:r>
      <w:r>
        <w:rPr>
          <w:b/>
          <w:bCs/>
        </w:rPr>
        <w:t xml:space="preserve">Fix:</w:t>
      </w:r>
      <w:r>
        <w:t xml:space="preserve"> </w:t>
      </w:r>
      <w:r>
        <w:t xml:space="preserve">Would require modifying weather generation to impose constant 16.5h photoperiod — not straightforward in DSSAT.</w:t>
      </w:r>
    </w:p>
    <w:p>
      <w:pPr>
        <w:numPr>
          <w:ilvl w:val="0"/>
          <w:numId w:val="1001"/>
        </w:numPr>
      </w:pPr>
      <w:r>
        <w:rPr>
          <w:b/>
          <w:bCs/>
        </w:rPr>
        <w:t xml:space="preserve">CO2 response artifact (UFGA2402):</w:t>
      </w:r>
      <w:r>
        <w:t xml:space="preserve"> </w:t>
      </w:r>
      <w:r>
        <w:t xml:space="preserve">The 21°C and 25°C treatments differ by 230 ppm CO2 (830 vs 1060 ppm). The model’s CO2 response (CCEFF=0.0105/ppm) amplifies this difference too strongly, causing 25°C to overshoot by +24–29%. Reducing LFMAX to compensate would break the well-calibrated 21°C result.</w:t>
      </w:r>
      <w:r>
        <w:t xml:space="preserve"> </w:t>
      </w:r>
      <w:r>
        <w:rPr>
          <w:b/>
          <w:bCs/>
        </w:rPr>
        <w:t xml:space="preserve">Fix:</w:t>
      </w:r>
      <w:r>
        <w:t xml:space="preserve"> </w:t>
      </w:r>
      <w:r>
        <w:t xml:space="preserve">Reduce CCEFF in SPE, but this affects all experiments. Low priority.</w:t>
      </w:r>
    </w:p>
    <w:p>
      <w:pPr>
        <w:numPr>
          <w:ilvl w:val="0"/>
          <w:numId w:val="1001"/>
        </w:numPr>
      </w:pPr>
      <w:r>
        <w:rPr>
          <w:b/>
          <w:bCs/>
        </w:rPr>
        <w:t xml:space="preserve">Transplant initialization lag:</w:t>
      </w:r>
      <w:r>
        <w:t xml:space="preserve"> </w:t>
      </w:r>
      <w:r>
        <w:t xml:space="preserve">CROPGRO starts from seed weight (PLWT), giving LAI≈0.005 vs real transplant LAI≈0.3–0.5. Early-season biomass is underestimated for 7–14 days. At cooler temperatures (24°C, slower growth), this lag persists longer, causing a relative</w:t>
      </w:r>
      <w:r>
        <w:t xml:space="preserve"> </w:t>
      </w:r>
      <w:r>
        <w:rPr>
          <w:i/>
          <w:iCs/>
        </w:rPr>
        <w:t xml:space="preserve">overestimation</w:t>
      </w:r>
      <w:r>
        <w:t xml:space="preserve"> </w:t>
      </w:r>
      <w:r>
        <w:t xml:space="preserve">late in the season due to compensatory N-feedback dynamics. This explains part of the 24°C overshoots for Muir/Skyphos.</w:t>
      </w:r>
      <w:r>
        <w:t xml:space="preserve"> </w:t>
      </w:r>
      <w:r>
        <w:rPr>
          <w:b/>
          <w:bCs/>
        </w:rPr>
        <w:t xml:space="preserve">Accepted:</w:t>
      </w:r>
      <w:r>
        <w:t xml:space="preserve"> </w:t>
      </w:r>
      <w:r>
        <w:t xml:space="preserve">Document, focus calibration on harvest-date metrics.</w:t>
      </w:r>
    </w:p>
    <w:p>
      <w:r>
        <w:pict>
          <v:rect style="width:0;height:1.5pt" o:hralign="center" o:hrstd="t" o:hr="t"/>
        </w:pict>
      </w:r>
    </w:p>
    <w:bookmarkEnd w:id="14"/>
    <w:bookmarkEnd w:id="15"/>
    <w:bookmarkStart w:id="16" w:name="X3549906263063dd495c77aa9a8d9b884207bd2e"/>
    <w:p>
      <w:pPr>
        <w:pStyle w:val="Heading2"/>
      </w:pPr>
      <w:r>
        <w:rPr>
          <w:strike/>
        </w:rPr>
        <w:t xml:space="preserve">Priority 1 — Sync Installed vs Repo CUL</w:t>
      </w:r>
      <w:r>
        <w:t xml:space="preserve"> </w:t>
      </w:r>
      <w:r>
        <w:t xml:space="preserve">✅ DONE (2026-04-12)</w:t>
      </w:r>
    </w:p>
    <w:p>
      <w:pPr>
        <w:pStyle w:val="FirstParagraph"/>
      </w:pPr>
      <w:r>
        <w:t xml:space="preserve">Both</w:t>
      </w:r>
      <w:r>
        <w:t xml:space="preserve"> </w:t>
      </w:r>
      <w:r>
        <w:rPr>
          <w:rStyle w:val="VerbatimChar"/>
        </w:rPr>
        <w:t xml:space="preserve">LUGRO048.CUL</w:t>
      </w:r>
      <w:r>
        <w:t xml:space="preserve"> </w:t>
      </w:r>
      <w:r>
        <w:t xml:space="preserve">and</w:t>
      </w:r>
      <w:r>
        <w:t xml:space="preserve"> </w:t>
      </w:r>
      <w:r>
        <w:rPr>
          <w:rStyle w:val="VerbatimChar"/>
        </w:rPr>
        <w:t xml:space="preserve">LUGRO048.SPE</w:t>
      </w:r>
      <w:r>
        <w:t xml:space="preserve"> </w:t>
      </w:r>
      <w:r>
        <w:t xml:space="preserve">installed and repo copies are now identical. Committed in main.</w:t>
      </w:r>
    </w:p>
    <w:p>
      <w:r>
        <w:pict>
          <v:rect style="width:0;height:1.5pt" o:hralign="center" o:hrstd="t" o:hr="t"/>
        </w:pict>
      </w:r>
    </w:p>
    <w:bookmarkEnd w:id="16"/>
    <w:bookmarkStart w:id="17" w:name="X47b79861218eb5e7bb57e919fee4b8f8dfb474d"/>
    <w:p>
      <w:pPr>
        <w:pStyle w:val="Heading2"/>
      </w:pPr>
      <w:r>
        <w:rPr>
          <w:strike/>
        </w:rPr>
        <w:t xml:space="preserve">Priority 2 — Phenology Causing Premature Harvest at 30°C</w:t>
      </w:r>
      <w:r>
        <w:t xml:space="preserve"> </w:t>
      </w:r>
      <w:r>
        <w:t xml:space="preserve">✅ RESOLVED (2026-04-12)</w:t>
      </w:r>
    </w:p>
    <w:p>
      <w:pPr>
        <w:pStyle w:val="FirstParagraph"/>
      </w:pPr>
      <w:r>
        <w:rPr>
          <w:b/>
          <w:bCs/>
        </w:rPr>
        <w:t xml:space="preserve">Resolution:</w:t>
      </w:r>
      <w:r>
        <w:t xml:space="preserve"> </w:t>
      </w:r>
      <w:r>
        <w:t xml:space="preserve">Harvest is date-forced (</w:t>
      </w:r>
      <w:r>
        <w:rPr>
          <w:rStyle w:val="VerbatimChar"/>
        </w:rPr>
        <w:t xml:space="preserve">HSTG=GS000</w:t>
      </w:r>
      <w:r>
        <w:t xml:space="preserve">,</w:t>
      </w:r>
      <w:r>
        <w:t xml:space="preserve"> </w:t>
      </w:r>
      <w:r>
        <w:rPr>
          <w:rStyle w:val="VerbatimChar"/>
        </w:rPr>
        <w:t xml:space="preserve">HARVS=R</w:t>
      </w:r>
      <w:r>
        <w:t xml:space="preserve">). The premature harvest previously observed was caused by the old repo SPE having phenology optimum at TB/TO1/TO2/TM = 0/15/25/35°C (below the range where 30°C falls). With the synced SPE (optimum 0/20/28/45°C), all temperatures remain in the vegetative development zone through the harvest date. No EM-FL adjustment needed.</w:t>
      </w:r>
    </w:p>
    <w:p>
      <w:r>
        <w:pict>
          <v:rect style="width:0;height:1.5pt" o:hralign="center" o:hrstd="t" o:hr="t"/>
        </w:pict>
      </w:r>
    </w:p>
    <w:bookmarkEnd w:id="17"/>
    <w:bookmarkStart w:id="18" w:name="Xfc6137071bab359c35642154d31e3c2e0beed8a"/>
    <w:p>
      <w:pPr>
        <w:pStyle w:val="Heading2"/>
      </w:pPr>
      <w:r>
        <w:rPr>
          <w:strike/>
        </w:rPr>
        <w:t xml:space="preserve">Priority 3 — LFMAX Calibration Per Cultivar</w:t>
      </w:r>
      <w:r>
        <w:t xml:space="preserve"> </w:t>
      </w:r>
      <w:r>
        <w:t xml:space="preserve">✅ DONE (2026-04-12)</w:t>
      </w:r>
    </w:p>
    <w:p>
      <w:pPr>
        <w:pStyle w:val="FirstParagraph"/>
      </w:pPr>
      <w:r>
        <w:t xml:space="preserve">Calibrated Muir (0.650→0.850) and Skyphos (0.850→1.200) to the 28°C optimal treatment. Rex unchanged (0.660, −2% at 28°C). BG23/WG reverted after finding the 25°C overshoot is a CO2 response artifact, not an LFMAX error. See performance tables above.</w:t>
      </w:r>
    </w:p>
    <w:p>
      <w:r>
        <w:pict>
          <v:rect style="width:0;height:1.5pt" o:hralign="center" o:hrstd="t" o:hr="t"/>
        </w:pict>
      </w:r>
    </w:p>
    <w:bookmarkEnd w:id="18"/>
    <w:bookmarkStart w:id="19" w:name="Xff6f24d28840c8daf6457452a229fae47a5f44c"/>
    <w:p>
      <w:pPr>
        <w:pStyle w:val="Heading2"/>
      </w:pPr>
      <w:r>
        <w:rPr>
          <w:strike/>
        </w:rPr>
        <w:t xml:space="preserve">Priority 4 — SLAVR Calibration (LAI vs Biomass Trade-off)</w:t>
      </w:r>
      <w:r>
        <w:t xml:space="preserve"> </w:t>
      </w:r>
      <w:r>
        <w:t xml:space="preserve">✅ DONE (2026-04-12)</w:t>
      </w:r>
    </w:p>
    <w:p>
      <w:pPr>
        <w:pStyle w:val="FirstParagraph"/>
      </w:pPr>
      <w:r>
        <w:rPr>
          <w:b/>
          <w:bCs/>
        </w:rPr>
        <w:t xml:space="preserve">Resolution:</w:t>
      </w:r>
      <w:r>
        <w:t xml:space="preserve"> </w:t>
      </w:r>
      <w:r>
        <w:t xml:space="preserve">Calibrated SLAVR per cultivar using observed LAPD at DAS_plant=28 for the 28°C treatment (no daylength confound). LFMAX simultaneously adjusted to maintain CWAD target at 28°C.</w:t>
      </w:r>
    </w:p>
    <w:tbl>
      <w:tblPr>
        <w:tblStyle w:val="Table"/>
        <w:tblW w:type="pct" w:w="5000"/>
        <w:tblLayout w:type="fixed"/>
        <w:tblLook w:firstRow="1" w:lastRow="0" w:firstColumn="0" w:lastColumn="0" w:noHBand="0" w:noVBand="0" w:val="0020"/>
      </w:tblPr>
      <w:tblGrid>
        <w:gridCol w:w="851"/>
        <w:gridCol w:w="1107"/>
        <w:gridCol w:w="1107"/>
        <w:gridCol w:w="1107"/>
        <w:gridCol w:w="1107"/>
        <w:gridCol w:w="851"/>
        <w:gridCol w:w="851"/>
        <w:gridCol w:w="936"/>
      </w:tblGrid>
      <w:tr>
        <w:trPr>
          <w:tblHeader w:val="on"/>
        </w:trPr>
        <w:tc>
          <w:tcPr/>
          <w:p>
            <w:pPr>
              <w:pStyle w:val="Compact"/>
            </w:pPr>
            <w:r>
              <w:t xml:space="preserve">Cultivar</w:t>
            </w:r>
          </w:p>
        </w:tc>
        <w:tc>
          <w:tcPr/>
          <w:p>
            <w:pPr>
              <w:pStyle w:val="Compact"/>
            </w:pPr>
            <w:r>
              <w:t xml:space="preserve">SLAVR before</w:t>
            </w:r>
          </w:p>
        </w:tc>
        <w:tc>
          <w:tcPr/>
          <w:p>
            <w:pPr>
              <w:pStyle w:val="Compact"/>
            </w:pPr>
            <w:r>
              <w:t xml:space="preserve">SLAVR after</w:t>
            </w:r>
          </w:p>
        </w:tc>
        <w:tc>
          <w:tcPr/>
          <w:p>
            <w:pPr>
              <w:pStyle w:val="Compact"/>
            </w:pPr>
            <w:r>
              <w:t xml:space="preserve">LFMAX before</w:t>
            </w:r>
          </w:p>
        </w:tc>
        <w:tc>
          <w:tcPr/>
          <w:p>
            <w:pPr>
              <w:pStyle w:val="Compact"/>
            </w:pPr>
            <w:r>
              <w:t xml:space="preserve">LFMAX after</w:t>
            </w:r>
          </w:p>
        </w:tc>
        <w:tc>
          <w:tcPr/>
          <w:p>
            <w:pPr>
              <w:pStyle w:val="Compact"/>
            </w:pPr>
            <w:r>
              <w:t xml:space="preserve">LAIX sim</w:t>
            </w:r>
          </w:p>
        </w:tc>
        <w:tc>
          <w:tcPr/>
          <w:p>
            <w:pPr>
              <w:pStyle w:val="Compact"/>
            </w:pPr>
            <w:r>
              <w:t xml:space="preserve">LAIX obs</w:t>
            </w:r>
          </w:p>
        </w:tc>
        <w:tc>
          <w:tcPr/>
          <w:p>
            <w:pPr>
              <w:pStyle w:val="Compact"/>
            </w:pPr>
            <w:r>
              <w:t xml:space="preserve">CWAD bias</w:t>
            </w:r>
          </w:p>
        </w:tc>
      </w:tr>
      <w:tr>
        <w:tc>
          <w:tcPr/>
          <w:p>
            <w:pPr>
              <w:pStyle w:val="Compact"/>
            </w:pPr>
            <w:r>
              <w:t xml:space="preserve">REX</w:t>
            </w:r>
          </w:p>
        </w:tc>
        <w:tc>
          <w:tcPr/>
          <w:p>
            <w:pPr>
              <w:pStyle w:val="Compact"/>
            </w:pPr>
            <w:r>
              <w:t xml:space="preserve">400</w:t>
            </w:r>
          </w:p>
        </w:tc>
        <w:tc>
          <w:tcPr/>
          <w:p>
            <w:pPr>
              <w:pStyle w:val="Compact"/>
            </w:pPr>
            <w:r>
              <w:t xml:space="preserve">320</w:t>
            </w:r>
          </w:p>
        </w:tc>
        <w:tc>
          <w:tcPr/>
          <w:p>
            <w:pPr>
              <w:pStyle w:val="Compact"/>
            </w:pPr>
            <w:r>
              <w:t xml:space="preserve">0.660</w:t>
            </w:r>
          </w:p>
        </w:tc>
        <w:tc>
          <w:tcPr/>
          <w:p>
            <w:pPr>
              <w:pStyle w:val="Compact"/>
            </w:pPr>
            <w:r>
              <w:t xml:space="preserve">0.690</w:t>
            </w:r>
          </w:p>
        </w:tc>
        <w:tc>
          <w:tcPr/>
          <w:p>
            <w:pPr>
              <w:pStyle w:val="Compact"/>
            </w:pPr>
            <w:r>
              <w:t xml:space="preserve">3.8</w:t>
            </w:r>
          </w:p>
        </w:tc>
        <w:tc>
          <w:tcPr/>
          <w:p>
            <w:pPr>
              <w:pStyle w:val="Compact"/>
            </w:pPr>
            <w:r>
              <w:t xml:space="preserve">3.77</w:t>
            </w:r>
          </w:p>
        </w:tc>
        <w:tc>
          <w:tcPr/>
          <w:p>
            <w:pPr>
              <w:pStyle w:val="Compact"/>
            </w:pPr>
            <w:r>
              <w:t xml:space="preserve">−3% ✓</w:t>
            </w:r>
          </w:p>
        </w:tc>
      </w:tr>
      <w:tr>
        <w:tc>
          <w:tcPr/>
          <w:p>
            <w:pPr>
              <w:pStyle w:val="Compact"/>
            </w:pPr>
            <w:r>
              <w:t xml:space="preserve">MUIR</w:t>
            </w:r>
          </w:p>
        </w:tc>
        <w:tc>
          <w:tcPr/>
          <w:p>
            <w:pPr>
              <w:pStyle w:val="Compact"/>
            </w:pPr>
            <w:r>
              <w:t xml:space="preserve">210</w:t>
            </w:r>
          </w:p>
        </w:tc>
        <w:tc>
          <w:tcPr/>
          <w:p>
            <w:pPr>
              <w:pStyle w:val="Compact"/>
            </w:pPr>
            <w:r>
              <w:t xml:space="preserve">370</w:t>
            </w:r>
          </w:p>
        </w:tc>
        <w:tc>
          <w:tcPr/>
          <w:p>
            <w:pPr>
              <w:pStyle w:val="Compact"/>
            </w:pPr>
            <w:r>
              <w:t xml:space="preserve">0.850</w:t>
            </w:r>
          </w:p>
        </w:tc>
        <w:tc>
          <w:tcPr/>
          <w:p>
            <w:pPr>
              <w:pStyle w:val="Compact"/>
            </w:pPr>
            <w:r>
              <w:t xml:space="preserve">0.620</w:t>
            </w:r>
          </w:p>
        </w:tc>
        <w:tc>
          <w:tcPr/>
          <w:p>
            <w:pPr>
              <w:pStyle w:val="Compact"/>
            </w:pPr>
            <w:r>
              <w:t xml:space="preserve">4.3</w:t>
            </w:r>
          </w:p>
        </w:tc>
        <w:tc>
          <w:tcPr/>
          <w:p>
            <w:pPr>
              <w:pStyle w:val="Compact"/>
            </w:pPr>
            <w:r>
              <w:t xml:space="preserve">4.32</w:t>
            </w:r>
          </w:p>
        </w:tc>
        <w:tc>
          <w:tcPr/>
          <w:p>
            <w:pPr>
              <w:pStyle w:val="Compact"/>
            </w:pPr>
            <w:r>
              <w:t xml:space="preserve">+3% ✓</w:t>
            </w:r>
          </w:p>
        </w:tc>
      </w:tr>
      <w:tr>
        <w:tc>
          <w:tcPr/>
          <w:p>
            <w:pPr>
              <w:pStyle w:val="Compact"/>
            </w:pPr>
            <w:r>
              <w:t xml:space="preserve">SKYPHOS</w:t>
            </w:r>
          </w:p>
        </w:tc>
        <w:tc>
          <w:tcPr/>
          <w:p>
            <w:pPr>
              <w:pStyle w:val="Compact"/>
            </w:pPr>
            <w:r>
              <w:t xml:space="preserve">185</w:t>
            </w:r>
          </w:p>
        </w:tc>
        <w:tc>
          <w:tcPr/>
          <w:p>
            <w:pPr>
              <w:pStyle w:val="Compact"/>
            </w:pPr>
            <w:r>
              <w:t xml:space="preserve">390</w:t>
            </w:r>
          </w:p>
        </w:tc>
        <w:tc>
          <w:tcPr/>
          <w:p>
            <w:pPr>
              <w:pStyle w:val="Compact"/>
            </w:pPr>
            <w:r>
              <w:t xml:space="preserve">1.200</w:t>
            </w:r>
          </w:p>
        </w:tc>
        <w:tc>
          <w:tcPr/>
          <w:p>
            <w:pPr>
              <w:pStyle w:val="Compact"/>
            </w:pPr>
            <w:r>
              <w:t xml:space="preserve">0.720</w:t>
            </w:r>
          </w:p>
        </w:tc>
        <w:tc>
          <w:tcPr/>
          <w:p>
            <w:pPr>
              <w:pStyle w:val="Compact"/>
            </w:pPr>
            <w:r>
              <w:t xml:space="preserve">4.8</w:t>
            </w:r>
          </w:p>
        </w:tc>
        <w:tc>
          <w:tcPr/>
          <w:p>
            <w:pPr>
              <w:pStyle w:val="Compact"/>
            </w:pPr>
            <w:r>
              <w:t xml:space="preserve">4.86</w:t>
            </w:r>
          </w:p>
        </w:tc>
        <w:tc>
          <w:tcPr/>
          <w:p>
            <w:pPr>
              <w:pStyle w:val="Compact"/>
            </w:pPr>
            <w:r>
              <w:t xml:space="preserve">−6% ✓</w:t>
            </w:r>
          </w:p>
        </w:tc>
      </w:tr>
    </w:tbl>
    <w:p>
      <w:pPr>
        <w:pStyle w:val="BodyText"/>
      </w:pPr>
      <w:r>
        <w:t xml:space="preserve">SITONIA, BG23-1251, WALDMANNS_GR SLAVR unchanged (no observed LAPD available for direct calibration). WAGA9101 SITONIA CWAD remains +5.2% ✓.</w:t>
      </w:r>
    </w:p>
    <w:p>
      <w:r>
        <w:pict>
          <v:rect style="width:0;height:1.5pt" o:hralign="center" o:hrstd="t" o:hr="t"/>
        </w:pict>
      </w:r>
    </w:p>
    <w:bookmarkEnd w:id="19"/>
    <w:bookmarkStart w:id="20" w:name="X59f60248073c4326c3887590a230e30b408a723"/>
    <w:p>
      <w:pPr>
        <w:pStyle w:val="Heading2"/>
      </w:pPr>
      <w:r>
        <w:rPr>
          <w:strike/>
        </w:rPr>
        <w:t xml:space="preserve">Priority 5 — FNPGT Alignment with XLMAXT</w:t>
      </w:r>
      <w:r>
        <w:t xml:space="preserve"> </w:t>
      </w:r>
      <w:r>
        <w:t xml:space="preserve">✅ DONE (2026-04-12)</w:t>
      </w:r>
    </w:p>
    <w:p>
      <w:pPr>
        <w:pStyle w:val="FirstParagraph"/>
      </w:pPr>
      <w:r>
        <w:rPr>
          <w:b/>
          <w:bCs/>
        </w:rPr>
        <w:t xml:space="preserve">Resolution:</w:t>
      </w:r>
      <w:r>
        <w:t xml:space="preserve"> </w:t>
      </w:r>
      <w:r>
        <w:t xml:space="preserve">FNPGT upper plateau breakpoint shifted 32.0→34.0°C to match XLMAXT decline onset at 34°C. No change to model output (secondary canopy-level factor). All three experiments unchanged after edit.</w:t>
      </w:r>
    </w:p>
    <w:p>
      <w:r>
        <w:pict>
          <v:rect style="width:0;height:1.5pt" o:hralign="center" o:hrstd="t" o:hr="t"/>
        </w:pict>
      </w:r>
    </w:p>
    <w:bookmarkEnd w:id="20"/>
    <w:bookmarkStart w:id="21" w:name="Xac38cbd3d5000070581077bfc92514eb9df3f43"/>
    <w:p>
      <w:pPr>
        <w:pStyle w:val="Heading2"/>
      </w:pPr>
      <w:r>
        <w:t xml:space="preserve">Priority 6 — Transplant Initialization (Structural Limitation)</w:t>
      </w:r>
    </w:p>
    <w:p>
      <w:pPr>
        <w:pStyle w:val="FirstParagraph"/>
      </w:pPr>
      <w:r>
        <w:rPr>
          <w:b/>
          <w:bCs/>
        </w:rPr>
        <w:t xml:space="preserve">Problem:</w:t>
      </w:r>
      <w:r>
        <w:t xml:space="preserve"> </w:t>
      </w:r>
      <w:r>
        <w:t xml:space="preserve">CROPGRO initializes from seed weight (PLWT), resulting in LAI≈0.005 at transplant date. Real 2-week-old transplants have LAI≈0.3–0.5. This causes early-season biomass underestimation and distorted tissue concentration trajectories.</w:t>
      </w:r>
    </w:p>
    <w:p>
      <w:pPr>
        <w:pStyle w:val="BodyText"/>
      </w:pPr>
      <w:r>
        <w:rPr>
          <w:b/>
          <w:bCs/>
        </w:rPr>
        <w:t xml:space="preserve">Recommended:</w:t>
      </w:r>
      <w:r>
        <w:t xml:space="preserve"> </w:t>
      </w:r>
      <w:r>
        <w:t xml:space="preserve">Accept and document. Focus calibration on harvest-date metrics only.</w:t>
      </w:r>
    </w:p>
    <w:p>
      <w:r>
        <w:pict>
          <v:rect style="width:0;height:1.5pt" o:hralign="center" o:hrstd="t" o:hr="t"/>
        </w:pict>
      </w:r>
    </w:p>
    <w:bookmarkEnd w:id="21"/>
    <w:bookmarkStart w:id="22" w:name="X33ed4cdfd556dca1273dcf20b52b9074ca0ae0e"/>
    <w:p>
      <w:pPr>
        <w:pStyle w:val="Heading2"/>
      </w:pPr>
      <w:r>
        <w:t xml:space="preserve">Priority 7 — WAGA9101 Trt 1 CWAD Overshoot (Minor)</w:t>
      </w:r>
    </w:p>
    <w:p>
      <w:pPr>
        <w:pStyle w:val="FirstParagraph"/>
      </w:pPr>
      <w:r>
        <w:rPr>
          <w:b/>
          <w:bCs/>
        </w:rPr>
        <w:t xml:space="preserve">Current:</w:t>
      </w:r>
      <w:r>
        <w:t xml:space="preserve"> </w:t>
      </w:r>
      <w:r>
        <w:t xml:space="preserve">CWAD=3012 vs observed=2862 (+5.2%). Within the ±5% target. Monitor after SLAVR changes in Priority 4 — SLAVR affects LAI which affects light interception and CWAD.</w:t>
      </w:r>
    </w:p>
    <w:p>
      <w:r>
        <w:pict>
          <v:rect style="width:0;height:1.5pt" o:hralign="center" o:hrstd="t" o:hr="t"/>
        </w:pict>
      </w:r>
    </w:p>
    <w:bookmarkEnd w:id="22"/>
    <w:bookmarkStart w:id="23" w:name="testing-protocol"/>
    <w:p>
      <w:pPr>
        <w:pStyle w:val="Heading2"/>
      </w:pPr>
      <w:r>
        <w:t xml:space="preserve">Testing Protocol</w:t>
      </w:r>
    </w:p>
    <w:p>
      <w:pPr>
        <w:pStyle w:val="FirstParagraph"/>
      </w:pPr>
      <w:r>
        <w:t xml:space="preserve">After each change, run all three experiments in sequence:</w:t>
      </w:r>
    </w:p>
    <w:p>
      <w:pPr>
        <w:pStyle w:val="SourceCode"/>
      </w:pPr>
      <w:r>
        <w:rPr>
          <w:rStyle w:val="BuiltInTok"/>
        </w:rPr>
        <w:t xml:space="preserve">cd</w:t>
      </w:r>
      <w:r>
        <w:rPr>
          <w:rStyle w:val="NormalTok"/>
        </w:rPr>
        <w:t xml:space="preserve"> /Applications/DSSAT48/Lettuce</w:t>
      </w:r>
      <w:r>
        <w:br/>
      </w:r>
      <w:r>
        <w:rPr>
          <w:rStyle w:val="ExtensionTok"/>
        </w:rPr>
        <w:t xml:space="preserve">/Users/kapilbhattarai/-hydroponic-conversion/build/bin/dscsm048</w:t>
      </w:r>
      <w:r>
        <w:rPr>
          <w:rStyle w:val="NormalTok"/>
        </w:rPr>
        <w:t xml:space="preserve"> A WAGA9101.LUX</w:t>
      </w:r>
      <w:r>
        <w:br/>
      </w:r>
      <w:r>
        <w:rPr>
          <w:rStyle w:val="ExtensionTok"/>
        </w:rPr>
        <w:t xml:space="preserve">/Users/kapilbhattarai/-hydroponic-conversion/build/bin/dscsm048</w:t>
      </w:r>
      <w:r>
        <w:rPr>
          <w:rStyle w:val="NormalTok"/>
        </w:rPr>
        <w:t xml:space="preserve"> A UFGA2201.LUX</w:t>
      </w:r>
      <w:r>
        <w:br/>
      </w:r>
      <w:r>
        <w:rPr>
          <w:rStyle w:val="ExtensionTok"/>
        </w:rPr>
        <w:t xml:space="preserve">/Users/kapilbhattarai/-hydroponic-conversion/build/bin/dscsm048</w:t>
      </w:r>
      <w:r>
        <w:rPr>
          <w:rStyle w:val="NormalTok"/>
        </w:rPr>
        <w:t xml:space="preserve"> A UFGA2402.LUX</w:t>
      </w:r>
    </w:p>
    <w:p>
      <w:pPr>
        <w:pStyle w:val="FirstParagraph"/>
      </w:pPr>
      <w:r>
        <w:rPr>
          <w:b/>
          <w:bCs/>
        </w:rPr>
        <w:t xml:space="preserve">Accept/reject criteria per experiment: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Experiment</w:t>
            </w:r>
          </w:p>
        </w:tc>
        <w:tc>
          <w:tcPr/>
          <w:p>
            <w:pPr>
              <w:pStyle w:val="Compact"/>
            </w:pPr>
            <w:r>
              <w:t xml:space="preserve">Variable</w:t>
            </w:r>
          </w:p>
        </w:tc>
        <w:tc>
          <w:tcPr/>
          <w:p>
            <w:pPr>
              <w:pStyle w:val="Compact"/>
            </w:pPr>
            <w:r>
              <w:t xml:space="preserve">Target</w:t>
            </w:r>
          </w:p>
        </w:tc>
      </w:tr>
      <w:tr>
        <w:tc>
          <w:tcPr/>
          <w:p>
            <w:pPr>
              <w:pStyle w:val="Compact"/>
            </w:pPr>
            <w:r>
              <w:t xml:space="preserve">WAGA9101 trt1</w:t>
            </w:r>
          </w:p>
        </w:tc>
        <w:tc>
          <w:tcPr/>
          <w:p>
            <w:pPr>
              <w:pStyle w:val="Compact"/>
            </w:pPr>
            <w:r>
              <w:t xml:space="preserve">CWAD harvest</w:t>
            </w:r>
          </w:p>
        </w:tc>
        <w:tc>
          <w:tcPr/>
          <w:p>
            <w:pPr>
              <w:pStyle w:val="Compact"/>
            </w:pPr>
            <w:r>
              <w:t xml:space="preserve">±5% of 2862 kg/ha</w:t>
            </w:r>
          </w:p>
        </w:tc>
      </w:tr>
      <w:tr>
        <w:tc>
          <w:tcPr/>
          <w:p>
            <w:pPr>
              <w:pStyle w:val="Compact"/>
            </w:pPr>
            <w:r>
              <w:t xml:space="preserve">WAGA9101 trt1</w:t>
            </w:r>
          </w:p>
        </w:tc>
        <w:tc>
          <w:tcPr/>
          <w:p>
            <w:pPr>
              <w:pStyle w:val="Compact"/>
            </w:pPr>
            <w:r>
              <w:t xml:space="preserve">N uptake</w:t>
            </w:r>
          </w:p>
        </w:tc>
        <w:tc>
          <w:tcPr/>
          <w:p>
            <w:pPr>
              <w:pStyle w:val="Compact"/>
            </w:pPr>
            <w:r>
              <w:t xml:space="preserve">±10% of 118.8 kg/ha</w:t>
            </w:r>
          </w:p>
        </w:tc>
      </w:tr>
      <w:tr>
        <w:tc>
          <w:tcPr/>
          <w:p>
            <w:pPr>
              <w:pStyle w:val="Compact"/>
            </w:pPr>
            <w:r>
              <w:t xml:space="preserve">UFGA2201</w:t>
            </w:r>
          </w:p>
        </w:tc>
        <w:tc>
          <w:tcPr/>
          <w:p>
            <w:pPr>
              <w:pStyle w:val="Compact"/>
            </w:pPr>
            <w:r>
              <w:t xml:space="preserve">CWAD NRMSE</w:t>
            </w:r>
          </w:p>
        </w:tc>
        <w:tc>
          <w:tcPr/>
          <w:p>
            <w:pPr>
              <w:pStyle w:val="Compact"/>
            </w:pPr>
            <w:r>
              <w:t xml:space="preserve">&lt; 25%</w:t>
            </w:r>
          </w:p>
        </w:tc>
      </w:tr>
      <w:tr>
        <w:tc>
          <w:tcPr/>
          <w:p>
            <w:pPr>
              <w:pStyle w:val="Compact"/>
            </w:pPr>
            <w:r>
              <w:t xml:space="preserve">UFGA2201</w:t>
            </w:r>
          </w:p>
        </w:tc>
        <w:tc>
          <w:tcPr/>
          <w:p>
            <w:pPr>
              <w:pStyle w:val="Compact"/>
            </w:pPr>
            <w:r>
              <w:t xml:space="preserve">CWAD d-stat</w:t>
            </w:r>
          </w:p>
        </w:tc>
        <w:tc>
          <w:tcPr/>
          <w:p>
            <w:pPr>
              <w:pStyle w:val="Compact"/>
            </w:pPr>
            <w:r>
              <w:t xml:space="preserve">&gt; 0.85</w:t>
            </w:r>
          </w:p>
        </w:tc>
      </w:tr>
      <w:tr>
        <w:tc>
          <w:tcPr/>
          <w:p>
            <w:pPr>
              <w:pStyle w:val="Compact"/>
            </w:pPr>
            <w:r>
              <w:t xml:space="preserve">UFGA2402</w:t>
            </w:r>
          </w:p>
        </w:tc>
        <w:tc>
          <w:tcPr/>
          <w:p>
            <w:pPr>
              <w:pStyle w:val="Compact"/>
            </w:pPr>
            <w:r>
              <w:t xml:space="preserve">CWAD NRMSE</w:t>
            </w:r>
          </w:p>
        </w:tc>
        <w:tc>
          <w:tcPr/>
          <w:p>
            <w:pPr>
              <w:pStyle w:val="Compact"/>
            </w:pPr>
            <w:r>
              <w:t xml:space="preserve">&lt; 25%</w:t>
            </w:r>
          </w:p>
        </w:tc>
      </w:tr>
      <w:tr>
        <w:tc>
          <w:tcPr/>
          <w:p>
            <w:pPr>
              <w:pStyle w:val="Compact"/>
            </w:pPr>
            <w:r>
              <w:t xml:space="preserve">UFGA2402</w:t>
            </w:r>
          </w:p>
        </w:tc>
        <w:tc>
          <w:tcPr/>
          <w:p>
            <w:pPr>
              <w:pStyle w:val="Compact"/>
            </w:pPr>
            <w:r>
              <w:t xml:space="preserve">CWAD d-stat</w:t>
            </w:r>
          </w:p>
        </w:tc>
        <w:tc>
          <w:tcPr/>
          <w:p>
            <w:pPr>
              <w:pStyle w:val="Compact"/>
            </w:pPr>
            <w:r>
              <w:t xml:space="preserve">&gt; 0.85</w:t>
            </w:r>
          </w:p>
        </w:tc>
      </w:tr>
    </w:tbl>
    <w:p>
      <w:r>
        <w:pict>
          <v:rect style="width:0;height:1.5pt" o:hralign="center" o:hrstd="t" o:hr="t"/>
        </w:pict>
      </w:r>
    </w:p>
    <w:bookmarkEnd w:id="23"/>
    <w:bookmarkStart w:id="24" w:name="files-to-edit"/>
    <w:p>
      <w:pPr>
        <w:pStyle w:val="Heading2"/>
      </w:pPr>
      <w:r>
        <w:t xml:space="preserve">Files to Edit</w:t>
      </w:r>
    </w:p>
    <w:tbl>
      <w:tblPr>
        <w:tblStyle w:val="Table"/>
        <w:tblW w:type="pct" w:w="5000"/>
        <w:tblLayout w:type="fixed"/>
        <w:tblLook w:firstRow="1" w:lastRow="0" w:firstColumn="0" w:lastColumn="0" w:noHBand="0" w:noVBand="0" w:val="0020"/>
      </w:tblPr>
      <w:tblGrid>
        <w:gridCol w:w="1900"/>
        <w:gridCol w:w="3168"/>
        <w:gridCol w:w="2851"/>
      </w:tblGrid>
      <w:tr>
        <w:trPr>
          <w:tblHeader w:val="on"/>
        </w:trPr>
        <w:tc>
          <w:tcPr/>
          <w:p>
            <w:pPr>
              <w:pStyle w:val="Compact"/>
            </w:pPr>
            <w:r>
              <w:t xml:space="preserve">File</w:t>
            </w:r>
          </w:p>
        </w:tc>
        <w:tc>
          <w:tcPr/>
          <w:p>
            <w:pPr>
              <w:pStyle w:val="Compact"/>
            </w:pPr>
            <w:r>
              <w:t xml:space="preserve">Location</w:t>
            </w:r>
          </w:p>
        </w:tc>
        <w:tc>
          <w:tcPr/>
          <w:p>
            <w:pPr>
              <w:pStyle w:val="Compact"/>
            </w:pPr>
            <w:r>
              <w:t xml:space="preserve">Purpose</w:t>
            </w:r>
          </w:p>
        </w:tc>
      </w:tr>
      <w:tr>
        <w:tc>
          <w:tcPr/>
          <w:p>
            <w:pPr>
              <w:pStyle w:val="Compact"/>
            </w:pPr>
            <w:r>
              <w:rPr>
                <w:rStyle w:val="VerbatimChar"/>
              </w:rPr>
              <w:t xml:space="preserve">LUGRO048.CUL</w:t>
            </w:r>
          </w:p>
        </w:tc>
        <w:tc>
          <w:tcPr/>
          <w:p>
            <w:pPr>
              <w:pStyle w:val="Compact"/>
            </w:pPr>
            <w:r>
              <w:rPr>
                <w:rStyle w:val="VerbatimChar"/>
              </w:rPr>
              <w:t xml:space="preserve">/Applications/DSSAT48/Genotype/</w:t>
            </w:r>
          </w:p>
        </w:tc>
        <w:tc>
          <w:tcPr/>
          <w:p>
            <w:pPr>
              <w:pStyle w:val="Compact"/>
            </w:pPr>
            <w:r>
              <w:t xml:space="preserve">Cultivar: LFMAX, EM-FL, FL-LF, SLAVR</w:t>
            </w:r>
          </w:p>
        </w:tc>
      </w:tr>
      <w:tr>
        <w:tc>
          <w:tcPr/>
          <w:p>
            <w:pPr>
              <w:pStyle w:val="Compact"/>
            </w:pPr>
            <w:r>
              <w:rPr>
                <w:rStyle w:val="VerbatimChar"/>
              </w:rPr>
              <w:t xml:space="preserve">LUGRO048.SPE</w:t>
            </w:r>
          </w:p>
        </w:tc>
        <w:tc>
          <w:tcPr/>
          <w:p>
            <w:pPr>
              <w:pStyle w:val="Compact"/>
            </w:pPr>
            <w:r>
              <w:rPr>
                <w:rStyle w:val="VerbatimChar"/>
              </w:rPr>
              <w:t xml:space="preserve">/Applications/DSSAT48/Genotype/</w:t>
            </w:r>
          </w:p>
        </w:tc>
        <w:tc>
          <w:tcPr/>
          <w:p>
            <w:pPr>
              <w:pStyle w:val="Compact"/>
            </w:pPr>
            <w:r>
              <w:t xml:space="preserve">Species: XLMAXT, YLMAXT, FNPGT</w:t>
            </w:r>
          </w:p>
        </w:tc>
      </w:tr>
      <w:tr>
        <w:tc>
          <w:tcPr/>
          <w:p>
            <w:pPr>
              <w:pStyle w:val="Compact"/>
            </w:pPr>
            <w:r>
              <w:rPr>
                <w:rStyle w:val="VerbatimChar"/>
              </w:rPr>
              <w:t xml:space="preserve">LUGRO048.CUL</w:t>
            </w:r>
          </w:p>
        </w:tc>
        <w:tc>
          <w:tcPr/>
          <w:p>
            <w:pPr>
              <w:pStyle w:val="Compact"/>
            </w:pPr>
            <w:r>
              <w:rPr>
                <w:rStyle w:val="VerbatimChar"/>
              </w:rPr>
              <w:t xml:space="preserve">Data/Genotype/</w:t>
            </w:r>
          </w:p>
        </w:tc>
        <w:tc>
          <w:tcPr/>
          <w:p>
            <w:pPr>
              <w:pStyle w:val="Compact"/>
            </w:pPr>
            <w:r>
              <w:t xml:space="preserve">Repo copy — must match installed</w:t>
            </w:r>
          </w:p>
        </w:tc>
      </w:tr>
      <w:tr>
        <w:tc>
          <w:tcPr/>
          <w:p>
            <w:pPr>
              <w:pStyle w:val="Compact"/>
            </w:pPr>
            <w:r>
              <w:rPr>
                <w:rStyle w:val="VerbatimChar"/>
              </w:rPr>
              <w:t xml:space="preserve">LUGRO048.SPE</w:t>
            </w:r>
          </w:p>
        </w:tc>
        <w:tc>
          <w:tcPr/>
          <w:p>
            <w:pPr>
              <w:pStyle w:val="Compact"/>
            </w:pPr>
            <w:r>
              <w:rPr>
                <w:rStyle w:val="VerbatimChar"/>
              </w:rPr>
              <w:t xml:space="preserve">Data/Genotype/</w:t>
            </w:r>
          </w:p>
        </w:tc>
        <w:tc>
          <w:tcPr/>
          <w:p>
            <w:pPr>
              <w:pStyle w:val="Compact"/>
            </w:pPr>
            <w:r>
              <w:t xml:space="preserve">Repo copy — must match installed</w:t>
            </w:r>
          </w:p>
        </w:tc>
      </w:tr>
    </w:tbl>
    <w:p>
      <w:pPr>
        <w:pStyle w:val="BodyText"/>
      </w:pPr>
      <w:r>
        <w:t xml:space="preserve">Always edit both installed and repo copies together.</w:t>
      </w:r>
    </w:p>
    <w:p>
      <w:r>
        <w:pict>
          <v:rect style="width:0;height:1.5pt" o:hralign="center" o:hrstd="t" o:hr="t"/>
        </w:pict>
      </w:r>
    </w:p>
    <w:bookmarkEnd w:id="24"/>
    <w:bookmarkStart w:id="25" w:name="Xa97af9b671a87beaafdc16db2a460e42ff4c25e"/>
    <w:p>
      <w:pPr>
        <w:pStyle w:val="Heading2"/>
      </w:pPr>
      <w:r>
        <w:rPr>
          <w:strike/>
        </w:rPr>
        <w:t xml:space="preserve">Priority 9 — SPE Temperature Parameter Calibration (FNPGT, XLMAXT/YLMAXT, FNPGL)</w:t>
      </w:r>
      <w:r>
        <w:t xml:space="preserve"> </w:t>
      </w:r>
      <w:r>
        <w:t xml:space="preserve">✅ DONE (2026-04-13)</w:t>
      </w:r>
    </w:p>
    <w:p>
      <w:pPr>
        <w:pStyle w:val="FirstParagraph"/>
      </w:pPr>
      <w:r>
        <w:rPr>
          <w:b/>
          <w:bCs/>
        </w:rPr>
        <w:t xml:space="preserve">Resolution:</w:t>
      </w:r>
      <w:r>
        <w:t xml:space="preserve"> </w:t>
      </w:r>
      <w:r>
        <w:t xml:space="preserve">XLMAXT/YLMAXT recalibrated from scratch using 9-treatment batch (Skyphos×4temp + WG×4temp + Sitonia). Final values:</w:t>
      </w:r>
      <w:r>
        <w:t xml:space="preserve"> </w:t>
      </w:r>
      <w:r>
        <w:rPr>
          <w:rStyle w:val="VerbatimChar"/>
        </w:rPr>
        <w:t xml:space="preserve">0, 4, 35, 40, 46, 55 / 0, 0, 1.0, 0.8, 0, 0</w:t>
      </w:r>
      <w:r>
        <w:t xml:space="preserve">. FNPGL X1 raised 10→15°C. RMSE reduced from 1969 to 184 kg/ha. See</w:t>
      </w:r>
      <w:r>
        <w:t xml:space="preserve"> </w:t>
      </w:r>
      <w:r>
        <w:rPr>
          <w:rStyle w:val="VerbatimChar"/>
        </w:rPr>
        <w:t xml:space="preserve">spe_temperature_calibration_report.md</w:t>
      </w:r>
      <w:r>
        <w:t xml:space="preserve"> </w:t>
      </w:r>
      <w:r>
        <w:t xml:space="preserve">for full derivation.</w:t>
      </w:r>
    </w:p>
    <w:p>
      <w:r>
        <w:pict>
          <v:rect style="width:0;height:1.5pt" o:hralign="center" o:hrstd="t" o:hr="t"/>
        </w:pict>
      </w:r>
    </w:p>
    <w:bookmarkEnd w:id="25"/>
    <w:bookmarkStart w:id="26" w:name="X346acc12602dc4b9cc23e95f78054eee3d7b551"/>
    <w:p>
      <w:pPr>
        <w:pStyle w:val="Heading2"/>
      </w:pPr>
      <w:r>
        <w:t xml:space="preserve">Priority 10 — BIBB FNPGN N-Stress Calibration ✅ DONE (2026-04-27)</w:t>
      </w:r>
    </w:p>
    <w:p>
      <w:pPr>
        <w:pStyle w:val="FirstParagraph"/>
      </w:pPr>
      <w:r>
        <w:rPr>
          <w:b/>
          <w:bCs/>
        </w:rPr>
        <w:t xml:space="preserve">Resolution:</w:t>
      </w:r>
      <w:r>
        <w:t xml:space="preserve"> </w:t>
      </w:r>
      <w:r>
        <w:t xml:space="preserve">GLUE (GLUEFlag=3, SpeciesCalibration=Y, 10000 runs) calibrated FNPGN1 and FNPGN2 across all 6 GTGA2401 N treatments. Best-fit: FNPGN1=1.042→1.04, FNPGN2=3.374→3.37. Applied to LUGRO048.SPE. T4 (66 mg/L) still shows +26% gap — likely reflects shallow modeled N-stress response in the 33–132 mg/L range, accepted as structural limitation.</w:t>
      </w:r>
    </w:p>
    <w:p>
      <w:r>
        <w:pict>
          <v:rect style="width:0;height:1.5pt" o:hralign="center" o:hrstd="t" o:hr="t"/>
        </w:pict>
      </w:r>
    </w:p>
    <w:bookmarkEnd w:id="26"/>
    <w:bookmarkStart w:id="27" w:name="X411dabb30d2598bbef487bfe8c82e9eadbca1af"/>
    <w:p>
      <w:pPr>
        <w:pStyle w:val="Heading2"/>
      </w:pPr>
      <w:r>
        <w:t xml:space="preserve">Priority 11 — UFGA2201 Temperature Underprediction (26–30°C)</w:t>
      </w:r>
    </w:p>
    <w:p>
      <w:pPr>
        <w:pStyle w:val="FirstParagraph"/>
      </w:pPr>
      <w:r>
        <w:rPr>
          <w:b/>
          <w:bCs/>
        </w:rPr>
        <w:t xml:space="preserve">Status:</w:t>
      </w:r>
      <w:r>
        <w:t xml:space="preserve"> </w:t>
      </w:r>
      <w:r>
        <w:t xml:space="preserve">ACTIVE — start here in new conversation</w:t>
      </w:r>
    </w:p>
    <w:p>
      <w:pPr>
        <w:pStyle w:val="BodyText"/>
      </w:pPr>
      <w:r>
        <w:rPr>
          <w:b/>
          <w:bCs/>
        </w:rPr>
        <w:t xml:space="preserve">Problem:</w:t>
      </w:r>
      <w:r>
        <w:t xml:space="preserve"> </w:t>
      </w:r>
      <w:r>
        <w:t xml:space="preserve">With current XLMAXT/YLMAXT, UFGA2201 shows systematic underprediction at 26–30°C across all three cultivars (−15% to −47%). The 24°C treatment fits well (−3% to −6%). This pattern persists after GLUE calibration of cultivar LFMAX/SLAVR and is therefore a species-level temperature response issue, not a cultivar parameter issue.</w:t>
      </w:r>
    </w:p>
    <w:p>
      <w:pPr>
        <w:pStyle w:val="BodyText"/>
      </w:pPr>
      <w:r>
        <w:rPr>
          <w:b/>
          <w:bCs/>
        </w:rPr>
        <w:t xml:space="preserve">Diagnosis:</w:t>
      </w:r>
      <w:r>
        <w:t xml:space="preserve"> </w:t>
      </w:r>
      <w:r>
        <w:t xml:space="preserve">XLMAXT was calibrated (Priority 9) using Skyphos (UFGA2201) + WG (UFGA2402) + Sitonia (WAGA9101). The 2026-04-13 calibration achieved RMSE=184 kg/ha across 9 treatments with Skyphos errors of −15% at 24°C, −12% at 26°C, −12% at 28°C, +13% at 30°C. However, the current UFGA2201 run with re-calibrated CUL parameters shows larger gaps at 26–30°C. Possible causes: (1) XLMAXT/YLMAXT still too conservative in the 26–34°C range; (2) cultivar LFMAX interaction with TEMPMX — re-calibrated LFMAX values are higher, amplifying any XLMAXT error.</w:t>
      </w:r>
    </w:p>
    <w:p>
      <w:pPr>
        <w:pStyle w:val="BodyText"/>
      </w:pPr>
      <w:r>
        <w:rPr>
          <w:b/>
          <w:bCs/>
        </w:rPr>
        <w:t xml:space="preserve">Recommended approach:</w:t>
      </w:r>
      <w:r>
        <w:t xml:space="preserve"> </w:t>
      </w:r>
      <w:r>
        <w:t xml:space="preserve">1. Run the 9-treatment batch (DSSBatch.v48: Skyphos TRT9–12 + WG TRT2,4,6,8 + Sitonia TRT1)</w:t>
      </w:r>
      <w:r>
        <w:t xml:space="preserve"> </w:t>
      </w:r>
      <w:r>
        <w:t xml:space="preserve">2. Check if Skyphos 26–30°C errors match the UFGA2201 pattern — if yes, adjust XLMAXT Y4 (currently 0.8 at 40°C) upward or shift X3/X4 slightly higher</w:t>
      </w:r>
      <w:r>
        <w:t xml:space="preserve"> </w:t>
      </w:r>
      <w:r>
        <w:t xml:space="preserve">3. Do NOT re-tune cultivar LFMAX to compensate for a species-level temperature response error</w:t>
      </w:r>
    </w:p>
    <w:p>
      <w:pPr>
        <w:pStyle w:val="BodyText"/>
      </w:pPr>
      <w:r>
        <w:rPr>
          <w:b/>
          <w:bCs/>
        </w:rPr>
        <w:t xml:space="preserve">Key constraint:</w:t>
      </w:r>
      <w:r>
        <w:t xml:space="preserve"> </w:t>
      </w:r>
      <w:r>
        <w:t xml:space="preserve">WAGA9101 Sitonia must remain within ±10% of observed (2862 kg/ha) after any XLMAXT change.</w:t>
      </w:r>
    </w:p>
    <w:p>
      <w:r>
        <w:pict>
          <v:rect style="width:0;height:1.5pt" o:hralign="center" o:hrstd="t" o:hr="t"/>
        </w:pict>
      </w:r>
    </w:p>
    <w:bookmarkEnd w:id="27"/>
    <w:bookmarkStart w:id="28" w:name="X6c2b237c50c122e7f11f570e36f394bfb51822d"/>
    <w:p>
      <w:pPr>
        <w:pStyle w:val="Heading2"/>
      </w:pPr>
      <w:r>
        <w:rPr>
          <w:strike/>
        </w:rPr>
        <w:t xml:space="preserve">Priority 8 — Re-calibrate Rex and Waldmanns Green after Day-length Fix</w:t>
      </w:r>
      <w:r>
        <w:t xml:space="preserve"> </w:t>
      </w:r>
      <w:r>
        <w:t xml:space="preserve">✅ DONE (2026-04-27)</w:t>
      </w:r>
    </w:p>
    <w:p>
      <w:pPr>
        <w:pStyle w:val="FirstParagraph"/>
      </w:pPr>
      <w:r>
        <w:rPr>
          <w:b/>
          <w:bCs/>
        </w:rPr>
        <w:t xml:space="preserve">Resolution:</w:t>
      </w:r>
      <w:r>
        <w:t xml:space="preserve"> </w:t>
      </w:r>
      <w:r>
        <w:t xml:space="preserve">Day-length fix (</w:t>
      </w:r>
      <w:r>
        <w:rPr>
          <w:rStyle w:val="VerbatimChar"/>
        </w:rPr>
        <w:t xml:space="preserve">EDAY R16.5</w:t>
      </w:r>
      <w:r>
        <w:t xml:space="preserve"> </w:t>
      </w:r>
      <w:r>
        <w:t xml:space="preserve">in all LUX files) was applied 2026-04-13. Rex, Muir, Skyphos LFMAX/SLAVR subsequently re-calibrated via GLUE against UFGA2201 (see Current Model State table). Current UFGA2201 results show 24°C fitting well (−3% to −6%) but 26–30°C systematically underpredicted — this is now identified as a species-level temperature response issue (Priority 11), not a cultivar parameter issue.</w:t>
      </w:r>
    </w:p>
    <w:p>
      <w:r>
        <w:pict>
          <v:rect style="width:0;height:1.5pt" o:hralign="center" o:hrstd="t" o:hr="t"/>
        </w:pict>
      </w:r>
    </w:p>
    <w:bookmarkEnd w:id="28"/>
    <w:bookmarkStart w:id="29" w:name="known-acceptable-limitations-do-not-fix"/>
    <w:p>
      <w:pPr>
        <w:pStyle w:val="Heading2"/>
      </w:pPr>
      <w:r>
        <w:t xml:space="preserve">Known Acceptable Limitations (Do Not Fix)</w:t>
      </w:r>
    </w:p>
    <w:p>
      <w:pPr>
        <w:pStyle w:val="Compact"/>
        <w:numPr>
          <w:ilvl w:val="0"/>
          <w:numId w:val="1002"/>
        </w:numPr>
      </w:pPr>
      <w:r>
        <w:rPr>
          <w:b/>
          <w:bCs/>
        </w:rPr>
        <w:t xml:space="preserve">Day-length confound:</w:t>
      </w:r>
      <w:r>
        <w:t xml:space="preserve"> </w:t>
      </w:r>
      <w:r>
        <w:t xml:space="preserve">FIXED 2026-04-13 — all LUX files now have</w:t>
      </w:r>
      <w:r>
        <w:t xml:space="preserve"> </w:t>
      </w:r>
      <w:r>
        <w:rPr>
          <w:rStyle w:val="VerbatimChar"/>
        </w:rPr>
        <w:t xml:space="preserve">EDAY R16.5</w:t>
      </w:r>
      <w:r>
        <w:t xml:space="preserve">. No longer a limitation.</w:t>
      </w:r>
    </w:p>
    <w:p>
      <w:pPr>
        <w:pStyle w:val="Compact"/>
        <w:numPr>
          <w:ilvl w:val="0"/>
          <w:numId w:val="1002"/>
        </w:numPr>
      </w:pPr>
      <w:r>
        <w:rPr>
          <w:b/>
          <w:bCs/>
        </w:rPr>
        <w:t xml:space="preserve">CO2 response artifact (UFGA2402 25°C):</w:t>
      </w:r>
      <w:r>
        <w:t xml:space="preserve"> </w:t>
      </w:r>
      <w:r>
        <w:t xml:space="preserve">1060 ppm CO2 in 25°C treatment vs 830 ppm in 21°C; model over-amplifies the difference. BG23/WG calibrated to 21°C (+2–3%); 25°C overshoot accepted.</w:t>
      </w:r>
    </w:p>
    <w:p>
      <w:pPr>
        <w:pStyle w:val="Compact"/>
        <w:numPr>
          <w:ilvl w:val="0"/>
          <w:numId w:val="1002"/>
        </w:numPr>
      </w:pPr>
      <w:r>
        <w:rPr>
          <w:b/>
          <w:bCs/>
        </w:rPr>
        <w:t xml:space="preserve">Early-season biomass lag (DAS 1–14 post-transplant):</w:t>
      </w:r>
      <w:r>
        <w:t xml:space="preserve"> </w:t>
      </w:r>
      <w:r>
        <w:t xml:space="preserve">Structural CROPGRO limitation. d-stats for concentration variables at early time points are unreliable and should not drive parameter changes.</w:t>
      </w:r>
    </w:p>
    <w:p>
      <w:pPr>
        <w:pStyle w:val="Compact"/>
        <w:numPr>
          <w:ilvl w:val="0"/>
          <w:numId w:val="1002"/>
        </w:numPr>
      </w:pPr>
      <w:r>
        <w:rPr>
          <w:b/>
          <w:bCs/>
        </w:rPr>
        <w:t xml:space="preserve">P solution NRMSE=73.8% in WAGA9101:</w:t>
      </w:r>
      <w:r>
        <w:t xml:space="preserve"> </w:t>
      </w:r>
      <w:r>
        <w:t xml:space="preserve">Observed P rises sharply at DAS 43–50 (likely a manual dosing event in Heinen 1994). Not a model failure.</w:t>
      </w:r>
    </w:p>
    <w:p>
      <w:pPr>
        <w:pStyle w:val="Compact"/>
        <w:numPr>
          <w:ilvl w:val="0"/>
          <w:numId w:val="1002"/>
        </w:numPr>
      </w:pPr>
      <w:r>
        <w:rPr>
          <w:b/>
          <w:bCs/>
        </w:rPr>
        <w:t xml:space="preserve">R²=0.000 in statistics table:</w:t>
      </w:r>
      <w:r>
        <w:t xml:space="preserve"> </w:t>
      </w:r>
      <w:r>
        <w:t xml:space="preserve">Placeholder value not calculated. Do not interpret.</w:t>
      </w:r>
    </w:p>
    <w:p>
      <w:pPr>
        <w:pStyle w:val="Compact"/>
        <w:numPr>
          <w:ilvl w:val="0"/>
          <w:numId w:val="1002"/>
        </w:numPr>
      </w:pPr>
      <w:r>
        <w:rPr>
          <w:b/>
          <w:bCs/>
        </w:rPr>
        <w:t xml:space="preserve">Root N%/K%/P% d-stats &lt; 0.4 in WAGA9101:</w:t>
      </w:r>
      <w:r>
        <w:t xml:space="preserve"> </w:t>
      </w:r>
      <w:r>
        <w:t xml:space="preserve">Direct consequence of early-season lag distorting tissue concentration trajectories. Accepted.</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2026-04-27T17:04:45Z</dcterms:created>
  <dcterms:modified xsi:type="dcterms:W3CDTF">2026-04-27T17:04:45Z</dcterms:modified>
</cp:coreProperties>
</file>

<file path=docProps/custom.xml><?xml version="1.0" encoding="utf-8"?>
<Properties xmlns="http://schemas.openxmlformats.org/officeDocument/2006/custom-properties" xmlns:vt="http://schemas.openxmlformats.org/officeDocument/2006/docPropsVTypes"/>
</file>