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a04295ef645a90a8d7bf55a163bc7a75997b39"/>
    <w:p>
      <w:pPr>
        <w:pStyle w:val="Heading1"/>
      </w:pPr>
      <w:r>
        <w:t xml:space="preserve">Temperature Response Calibration of LUGRO048.SPE for Hydroponic Lettuce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t xml:space="preserve">DSSAT-CROPGRO v4.8.5 (CRGRO048), Lettuce (</w:t>
      </w:r>
      <w:r>
        <w:rPr>
          <w:i/>
          <w:iCs/>
        </w:rPr>
        <w:t xml:space="preserve">Lactuca sativa</w:t>
      </w:r>
      <w:r>
        <w:t xml:space="preserve"> </w:t>
      </w:r>
      <w:r>
        <w:t xml:space="preserve">L.)</w:t>
      </w:r>
      <w:r>
        <w:br/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LUGRO048.SPE</w:t>
      </w:r>
      <w:r>
        <w:t xml:space="preserve"> </w:t>
      </w:r>
      <w:r>
        <w:t xml:space="preserve">— Species coefficients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2026-04-13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Kapil Bhattarai</w:t>
      </w:r>
    </w:p>
    <w:p>
      <w:r>
        <w:pict>
          <v:rect style="width:0;height:1.5pt" o:hralign="center" o:hrstd="t" o:hr="t"/>
        </w:pict>
      </w:r>
    </w:p>
    <w:bookmarkStart w:id="9" w:name="background"/>
    <w:p>
      <w:pPr>
        <w:pStyle w:val="Heading2"/>
      </w:pPr>
      <w:r>
        <w:t xml:space="preserve">1. Background</w:t>
      </w:r>
    </w:p>
    <w:p>
      <w:pPr>
        <w:pStyle w:val="FirstParagraph"/>
      </w:pPr>
      <w:r>
        <w:t xml:space="preserve">The DSSAT-CROPGRO model simulates crop growth through mechanistic representations of photosynthesis, phenology, and resource partitioning. Species-level temperature responses are encoded in the species coefficients file (</w:t>
      </w:r>
      <w:r>
        <w:rPr>
          <w:rStyle w:val="VerbatimChar"/>
        </w:rPr>
        <w:t xml:space="preserve">.SPE</w:t>
      </w:r>
      <w:r>
        <w:t xml:space="preserve">) through several lookup functions and cardinal temperature sets. Accurate calibration of these temperature response parameters is critical for simulating lettuce growth across the range of air temperatures (21–34°C) used in hydroponic controlled-environment experiments.</w:t>
      </w:r>
    </w:p>
    <w:p>
      <w:pPr>
        <w:pStyle w:val="BodyText"/>
      </w:pPr>
      <w:r>
        <w:t xml:space="preserve">This report documents the calibration of three temperature-sensitive photosynthesis parameters in</w:t>
      </w:r>
      <w:r>
        <w:t xml:space="preserve"> </w:t>
      </w:r>
      <w:r>
        <w:rPr>
          <w:rStyle w:val="VerbatimChar"/>
        </w:rPr>
        <w:t xml:space="preserve">LUGRO048.SPE</w:t>
      </w:r>
      <w:r>
        <w:t xml:space="preserve">: the leaf photosynthesis temperature response table (XLMAXT/YLMAXT), the chilling effect on leaf photosynthesis (FNPGL), and the canopy photosynthesis temperature factor (FNPGT).</w:t>
      </w:r>
    </w:p>
    <w:p>
      <w:r>
        <w:pict>
          <v:rect style="width:0;height:1.5pt" o:hralign="center" o:hrstd="t" o:hr="t"/>
        </w:pict>
      </w:r>
    </w:p>
    <w:bookmarkEnd w:id="9"/>
    <w:bookmarkStart w:id="10" w:name="experimental-data-used-for-calibration"/>
    <w:p>
      <w:pPr>
        <w:pStyle w:val="Heading2"/>
      </w:pPr>
      <w:r>
        <w:t xml:space="preserve">2. Experimental Data Used for Calibration</w:t>
      </w:r>
    </w:p>
    <w:p>
      <w:pPr>
        <w:pStyle w:val="FirstParagraph"/>
      </w:pPr>
      <w:r>
        <w:t xml:space="preserve">Three datasets were used as calibration targets, spanning a combined air temperature range of 20–34°C:</w:t>
      </w:r>
    </w:p>
    <w:p>
      <w:pPr>
        <w:pStyle w:val="BodyText"/>
      </w:pPr>
      <w:r>
        <w:rPr>
          <w:b/>
          <w:bCs/>
        </w:rPr>
        <w:t xml:space="preserve">UFGA2201</w:t>
      </w:r>
      <w:r>
        <w:t xml:space="preserve"> </w:t>
      </w:r>
      <w:r>
        <w:t xml:space="preserve">(Bhattarai, 2022): Hydroponic NFT lettuce, University of Florida. Cultivar: Skyphos (butterhead). Four air temperatures: 24, 26, 28, 30°C. Constant LED photoperiod 16.5 h, CO₂ ~800 ppm. Harvest at 28 DAS. Plant population: 12.3 plants m⁻². Final shoot dry weight measured as CWAD (kg ha⁻¹).</w:t>
      </w:r>
    </w:p>
    <w:p>
      <w:pPr>
        <w:pStyle w:val="BodyText"/>
      </w:pPr>
      <w:r>
        <w:rPr>
          <w:b/>
          <w:bCs/>
        </w:rPr>
        <w:t xml:space="preserve">UFGA2402</w:t>
      </w:r>
      <w:r>
        <w:t xml:space="preserve"> </w:t>
      </w:r>
      <w:r>
        <w:t xml:space="preserve">(Coon, 2024–2025): Hydroponic NFT lettuce, University of Florida. Cultivar: Waldmanns Green (butterhead). Four air temperatures: 21, 25, 31, 34°C. Constant LED photoperiod 16.5 h. Harvest at 35 DAS. Final CWAD (kg ha⁻¹).</w:t>
      </w:r>
    </w:p>
    <w:p>
      <w:pPr>
        <w:pStyle w:val="BodyText"/>
      </w:pPr>
      <w:r>
        <w:rPr>
          <w:b/>
          <w:bCs/>
        </w:rPr>
        <w:t xml:space="preserve">WAGA9101</w:t>
      </w:r>
      <w:r>
        <w:t xml:space="preserve"> </w:t>
      </w:r>
      <w:r>
        <w:t xml:space="preserve">(Heinen, 1994): Hydroponic NFT lettuce, Wageningen University, The Netherlands. Cultivar: Sitonia (butterhead). Greenhouse conditions, mean daytime temperature ~20°C, TMIN ~7°C. CWAD measured at 35 DAS (1045 kg ha⁻¹).</w:t>
      </w:r>
    </w:p>
    <w:p>
      <w:pPr>
        <w:pStyle w:val="BodyText"/>
      </w:pPr>
      <w:r>
        <w:t xml:space="preserve">The batch file (</w:t>
      </w:r>
      <w:r>
        <w:rPr>
          <w:rStyle w:val="VerbatimChar"/>
        </w:rPr>
        <w:t xml:space="preserve">DSSBatch.v48</w:t>
      </w:r>
      <w:r>
        <w:t xml:space="preserve">) was configured with Skyphos treatments (UFGA2201 TRT9–12), Waldmanns Green treatments (UFGA2402 TRT2, 4, 6, 8), and Sitonia (WAGA9101 TRT1). All simulated CWAM values were extracted from</w:t>
      </w:r>
      <w:r>
        <w:t xml:space="preserve"> </w:t>
      </w:r>
      <w:r>
        <w:rPr>
          <w:rStyle w:val="VerbatimChar"/>
        </w:rPr>
        <w:t xml:space="preserve">Evaluate.OUT</w:t>
      </w:r>
      <w:r>
        <w:t xml:space="preserve"> </w:t>
      </w:r>
      <w:r>
        <w:t xml:space="preserve">(CWAMS column) for comparison. Performance was assessed using root mean square error (RMSE) across all 9 treatments.</w:t>
      </w:r>
    </w:p>
    <w:p>
      <w:r>
        <w:pict>
          <v:rect style="width:0;height:1.5pt" o:hralign="center" o:hrstd="t" o:hr="t"/>
        </w:pict>
      </w:r>
    </w:p>
    <w:bookmarkEnd w:id="10"/>
    <w:bookmarkStart w:id="11" w:name="model-photosynthesis-structure"/>
    <w:p>
      <w:pPr>
        <w:pStyle w:val="Heading2"/>
      </w:pPr>
      <w:r>
        <w:t xml:space="preserve">3. Model Photosynthesis Structure</w:t>
      </w:r>
    </w:p>
    <w:p>
      <w:pPr>
        <w:pStyle w:val="FirstParagraph"/>
      </w:pPr>
      <w:r>
        <w:t xml:space="preserve">DSSAT-CROPGRO supports two photosynthesis options controlled by the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 </w:t>
      </w:r>
      <w:r>
        <w:t xml:space="preserve">switch in the experiment file. When</w:t>
      </w:r>
      <w:r>
        <w:t xml:space="preserve"> </w:t>
      </w:r>
      <w:r>
        <w:rPr>
          <w:rStyle w:val="VerbatimChar"/>
        </w:rPr>
        <w:t xml:space="preserve">PHOTO = L</w:t>
      </w:r>
      <w:r>
        <w:t xml:space="preserve"> </w:t>
      </w:r>
      <w:r>
        <w:t xml:space="preserve">(leaf option, used in all three lettuce experiments), hourly canopy photosynthesis is computed from leaf-level gas exchange using the SPAM (Soil-Plant-Atmosphere Model) subroutines (</w:t>
      </w:r>
      <w:r>
        <w:rPr>
          <w:rStyle w:val="VerbatimChar"/>
        </w:rPr>
        <w:t xml:space="preserve">ETPHOT.for</w:t>
      </w:r>
      <w:r>
        <w:t xml:space="preserve">,</w:t>
      </w:r>
      <w:r>
        <w:t xml:space="preserve"> </w:t>
      </w:r>
      <w:r>
        <w:rPr>
          <w:rStyle w:val="VerbatimChar"/>
        </w:rPr>
        <w:t xml:space="preserve">ETPHR.for</w:t>
      </w:r>
      <w:r>
        <w:t xml:space="preserve">). In this mode: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XLMAXT/YLMAXT</w:t>
      </w:r>
      <w:r>
        <w:t xml:space="preserve"> </w:t>
      </w:r>
      <w:r>
        <w:t xml:space="preserve">— a 6-point lookup table for the temperature response of light-saturated leaf photosynthesis (LMXREF, analogous to Jmax). Applied hourly using the hourly canopy temperature (TEMPHR). Normalized to the value at 30°C so that TEMPMX(30°C) = 1.0 (Boote et al., 1998).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FNPGL</w:t>
      </w:r>
      <w:r>
        <w:t xml:space="preserve"> </w:t>
      </w:r>
      <w:r>
        <w:t xml:space="preserve">— a quadratic (QDR) function of minimum daily temperature (TMIN) that applies a chilling-induced reduction to next-day leaf Pmax (CHILL factor).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FNPGT</w:t>
      </w:r>
      <w:r>
        <w:t xml:space="preserve"> </w:t>
      </w:r>
      <w:r>
        <w:t xml:space="preserve">— a linear (LIN) function of mean daytime temperature (TDAY) applied to canopy PG. This parameter is</w:t>
      </w:r>
      <w:r>
        <w:t xml:space="preserve"> </w:t>
      </w:r>
      <w:r>
        <w:rPr>
          <w:b/>
          <w:bCs/>
        </w:rPr>
        <w:t xml:space="preserve">not active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PHOTO = L</w:t>
      </w:r>
      <w:r>
        <w:t xml:space="preserve">; it is bypassed by the leaf-level hourly integration path.</w:t>
      </w:r>
    </w:p>
    <w:p>
      <w:pPr>
        <w:pStyle w:val="FirstParagraph"/>
      </w:pPr>
      <w:r>
        <w:t xml:space="preserve">The normalization convention of XLMAXT/YLMAXT at 30°C is critical: it means TEMPMX represents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Jmax at a given temperature compared to 30°C. Values above 1.0 indicate temperature-enhanced Pmax (when Topt &gt; 30°C), while values below 1.0 indicate suppression.</w:t>
      </w:r>
    </w:p>
    <w:p>
      <w:r>
        <w:pict>
          <v:rect style="width:0;height:1.5pt" o:hralign="center" o:hrstd="t" o:hr="t"/>
        </w:pict>
      </w:r>
    </w:p>
    <w:bookmarkEnd w:id="11"/>
    <w:bookmarkStart w:id="15" w:name="pre-calibration-diagnosis"/>
    <w:p>
      <w:pPr>
        <w:pStyle w:val="Heading2"/>
      </w:pPr>
      <w:r>
        <w:t xml:space="preserve">4. Pre-Calibration Diagnosis</w:t>
      </w:r>
    </w:p>
    <w:bookmarkStart w:id="12" w:name="initial-parameter-state"/>
    <w:p>
      <w:pPr>
        <w:pStyle w:val="Heading3"/>
      </w:pPr>
      <w:r>
        <w:t xml:space="preserve">4.1 Initial Parameter State</w:t>
      </w:r>
    </w:p>
    <w:p>
      <w:pPr>
        <w:pStyle w:val="FirstParagraph"/>
      </w:pPr>
      <w:r>
        <w:t xml:space="preserve">Prior to this calibration, the SPE file contained:</w:t>
      </w:r>
    </w:p>
    <w:p>
      <w:pPr>
        <w:pStyle w:val="SourceCode"/>
      </w:pPr>
      <w:r>
        <w:rPr>
          <w:rStyle w:val="VerbatimChar"/>
        </w:rPr>
        <w:t xml:space="preserve">XLMAXT: -10,  4, 18, 24, 36, 45   (optimum plateau 18–24°C)</w:t>
      </w:r>
      <w:r>
        <w:br/>
      </w:r>
      <w:r>
        <w:rPr>
          <w:rStyle w:val="VerbatimChar"/>
        </w:rPr>
        <w:t xml:space="preserve">YLMAXT:   0,  0,  1,  0.7,  0,  0</w:t>
      </w:r>
      <w:r>
        <w:br/>
      </w:r>
      <w:r>
        <w:rPr>
          <w:rStyle w:val="VerbatimChar"/>
        </w:rPr>
        <w:t xml:space="preserve">FNPGL:  QDR(-6, 10, 50, 60)</w:t>
      </w:r>
      <w:r>
        <w:br/>
      </w:r>
      <w:r>
        <w:rPr>
          <w:rStyle w:val="VerbatimChar"/>
        </w:rPr>
        <w:t xml:space="preserve">FNPGT:  LIN(0, 15, 18, 38)</w:t>
      </w:r>
    </w:p>
    <w:bookmarkEnd w:id="12"/>
    <w:bookmarkStart w:id="13" w:name="diagnosis-of-low-biomass-problem"/>
    <w:p>
      <w:pPr>
        <w:pStyle w:val="Heading3"/>
      </w:pPr>
      <w:r>
        <w:t xml:space="preserve">4.2 Diagnosis of Low Biomass Problem</w:t>
      </w:r>
    </w:p>
    <w:p>
      <w:pPr>
        <w:pStyle w:val="FirstParagraph"/>
      </w:pPr>
      <w:r>
        <w:t xml:space="preserve">Simulation of WAGA9101 with these parameters yielded CWAM = 178 kg ha⁻¹ versus observed 2862 kg ha⁻¹ at final harvest (50 DAS) — a 16-fold underprediction.</w:t>
      </w:r>
    </w:p>
    <w:p>
      <w:pPr>
        <w:pStyle w:val="BodyText"/>
      </w:pPr>
      <w:r>
        <w:t xml:space="preserve">Analysis of the XLMAXT/YLMAXT function revealed the root cause. The function</w:t>
      </w:r>
      <w:r>
        <w:t xml:space="preserve"> </w:t>
      </w:r>
      <w:r>
        <w:rPr>
          <w:rStyle w:val="VerbatimChar"/>
        </w:rPr>
        <w:t xml:space="preserve">TEMPMX = TABEX(YLMAXT, XLMAXT, TEMPHR) / TABEX(YLMAXT, XLMAXT, 30.0)</w:t>
      </w:r>
      <w:r>
        <w:t xml:space="preserve"> </w:t>
      </w:r>
      <w:r>
        <w:t xml:space="preserve">(line 525,</w:t>
      </w:r>
      <w:r>
        <w:t xml:space="preserve"> </w:t>
      </w:r>
      <w:r>
        <w:rPr>
          <w:rStyle w:val="VerbatimChar"/>
        </w:rPr>
        <w:t xml:space="preserve">ETPHR.for</w:t>
      </w:r>
      <w:r>
        <w:t xml:space="preserve">) evaluates to zero for all hourly temperatures below 18°C when XLMAXT[2] = 18°C and YLMAXT[2] = 0. The Wageningen greenhouse experienced TMAX = 17°C in the first half of the growing season and TMAX = 25°C in the second half (mean TDAY ≈ 14–19°C). With most daytime hours below 18°C, TEMPMX ≈ 0 for much of the season, effectively shutting down leaf photosynthesis.</w:t>
      </w:r>
    </w:p>
    <w:p>
      <w:pPr>
        <w:pStyle w:val="BodyText"/>
      </w:pPr>
      <w:r>
        <w:t xml:space="preserve">The fix — changing XLMAXT[2] from 18°C to 0°C (repo default) — restored CWAM to 3029 kg ha⁻¹ (+5.8% vs observed), confirming the diagnosis.</w:t>
      </w:r>
    </w:p>
    <w:bookmarkEnd w:id="13"/>
    <w:bookmarkStart w:id="14" w:name="systematic-bias-after-initial-fix"/>
    <w:p>
      <w:pPr>
        <w:pStyle w:val="Heading3"/>
      </w:pPr>
      <w:r>
        <w:t xml:space="preserve">4.3 Systematic Bias After Initial Fix</w:t>
      </w:r>
    </w:p>
    <w:p>
      <w:pPr>
        <w:pStyle w:val="FirstParagraph"/>
      </w:pPr>
      <w:r>
        <w:t xml:space="preserve">After restoring the repo XLMAXT (</w:t>
      </w:r>
      <w:r>
        <w:rPr>
          <w:rStyle w:val="VerbatimChar"/>
        </w:rPr>
        <w:t xml:space="preserve">-10, 0, 26, 34, 42, 55</w:t>
      </w:r>
      <w:r>
        <w:t xml:space="preserve">), a batch calibration run across all 9 treatments revealed: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Obs (kg ha⁻¹)</w:t>
            </w:r>
          </w:p>
        </w:tc>
        <w:tc>
          <w:tcPr/>
          <w:p>
            <w:pPr>
              <w:pStyle w:val="Compact"/>
            </w:pPr>
            <w:r>
              <w:t xml:space="preserve">Sim (kg ha⁻¹)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Skyphos 24°C</w:t>
            </w:r>
          </w:p>
        </w:tc>
        <w:tc>
          <w:tcPr/>
          <w:p>
            <w:pPr>
              <w:pStyle w:val="Compact"/>
            </w:pPr>
            <w:r>
              <w:t xml:space="preserve">1494</w:t>
            </w:r>
          </w:p>
        </w:tc>
        <w:tc>
          <w:tcPr/>
          <w:p>
            <w:pPr>
              <w:pStyle w:val="Compact"/>
            </w:pPr>
            <w:r>
              <w:t xml:space="preserve">3237</w:t>
            </w:r>
          </w:p>
        </w:tc>
        <w:tc>
          <w:tcPr/>
          <w:p>
            <w:pPr>
              <w:pStyle w:val="Compact"/>
            </w:pPr>
            <w:r>
              <w:t xml:space="preserve">+117%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Skyphos 26°C</w:t>
            </w:r>
          </w:p>
        </w:tc>
        <w:tc>
          <w:tcPr/>
          <w:p>
            <w:pPr>
              <w:pStyle w:val="Compact"/>
            </w:pPr>
            <w:r>
              <w:t xml:space="preserve">1675</w:t>
            </w:r>
          </w:p>
        </w:tc>
        <w:tc>
          <w:tcPr/>
          <w:p>
            <w:pPr>
              <w:pStyle w:val="Compact"/>
            </w:pPr>
            <w:r>
              <w:t xml:space="preserve">2995</w:t>
            </w:r>
          </w:p>
        </w:tc>
        <w:tc>
          <w:tcPr/>
          <w:p>
            <w:pPr>
              <w:pStyle w:val="Compact"/>
            </w:pPr>
            <w:r>
              <w:t xml:space="preserve">+79%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Skyphos 28°C</w:t>
            </w:r>
          </w:p>
        </w:tc>
        <w:tc>
          <w:tcPr/>
          <w:p>
            <w:pPr>
              <w:pStyle w:val="Compact"/>
            </w:pPr>
            <w:r>
              <w:t xml:space="preserve">1761</w:t>
            </w:r>
          </w:p>
        </w:tc>
        <w:tc>
          <w:tcPr/>
          <w:p>
            <w:pPr>
              <w:pStyle w:val="Compact"/>
            </w:pPr>
            <w:r>
              <w:t xml:space="preserve">2582</w:t>
            </w:r>
          </w:p>
        </w:tc>
        <w:tc>
          <w:tcPr/>
          <w:p>
            <w:pPr>
              <w:pStyle w:val="Compact"/>
            </w:pPr>
            <w:r>
              <w:t xml:space="preserve">+47%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Skyphos 30°C</w:t>
            </w:r>
          </w:p>
        </w:tc>
        <w:tc>
          <w:tcPr/>
          <w:p>
            <w:pPr>
              <w:pStyle w:val="Compact"/>
            </w:pPr>
            <w:r>
              <w:t xml:space="preserve">1466</w:t>
            </w:r>
          </w:p>
        </w:tc>
        <w:tc>
          <w:tcPr/>
          <w:p>
            <w:pPr>
              <w:pStyle w:val="Compact"/>
            </w:pPr>
            <w:r>
              <w:t xml:space="preserve">2078</w:t>
            </w:r>
          </w:p>
        </w:tc>
        <w:tc>
          <w:tcPr/>
          <w:p>
            <w:pPr>
              <w:pStyle w:val="Compact"/>
            </w:pPr>
            <w:r>
              <w:t xml:space="preserve">+42%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 21°C</w:t>
            </w:r>
          </w:p>
        </w:tc>
        <w:tc>
          <w:tcPr/>
          <w:p>
            <w:pPr>
              <w:pStyle w:val="Compact"/>
            </w:pPr>
            <w:r>
              <w:t xml:space="preserve">1134</w:t>
            </w:r>
          </w:p>
        </w:tc>
        <w:tc>
          <w:tcPr/>
          <w:p>
            <w:pPr>
              <w:pStyle w:val="Compact"/>
            </w:pPr>
            <w:r>
              <w:t xml:space="preserve">3855</w:t>
            </w:r>
          </w:p>
        </w:tc>
        <w:tc>
          <w:tcPr/>
          <w:p>
            <w:pPr>
              <w:pStyle w:val="Compact"/>
            </w:pPr>
            <w:r>
              <w:t xml:space="preserve">+240%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 25°C</w:t>
            </w:r>
          </w:p>
        </w:tc>
        <w:tc>
          <w:tcPr/>
          <w:p>
            <w:pPr>
              <w:pStyle w:val="Compact"/>
            </w:pPr>
            <w:r>
              <w:t xml:space="preserve">1826</w:t>
            </w:r>
          </w:p>
        </w:tc>
        <w:tc>
          <w:tcPr/>
          <w:p>
            <w:pPr>
              <w:pStyle w:val="Compact"/>
            </w:pPr>
            <w:r>
              <w:t xml:space="preserve">3987</w:t>
            </w:r>
          </w:p>
        </w:tc>
        <w:tc>
          <w:tcPr/>
          <w:p>
            <w:pPr>
              <w:pStyle w:val="Compact"/>
            </w:pPr>
            <w:r>
              <w:t xml:space="preserve">+118%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 31°C</w:t>
            </w:r>
          </w:p>
        </w:tc>
        <w:tc>
          <w:tcPr/>
          <w:p>
            <w:pPr>
              <w:pStyle w:val="Compact"/>
            </w:pPr>
            <w:r>
              <w:t xml:space="preserve">1481</w:t>
            </w:r>
          </w:p>
        </w:tc>
        <w:tc>
          <w:tcPr/>
          <w:p>
            <w:pPr>
              <w:pStyle w:val="Compact"/>
            </w:pPr>
            <w:r>
              <w:t xml:space="preserve">496</w:t>
            </w:r>
          </w:p>
        </w:tc>
        <w:tc>
          <w:tcPr/>
          <w:p>
            <w:pPr>
              <w:pStyle w:val="Compact"/>
            </w:pPr>
            <w:r>
              <w:t xml:space="preserve">−67%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 34°C</w:t>
            </w:r>
          </w:p>
        </w:tc>
        <w:tc>
          <w:tcPr/>
          <w:p>
            <w:pPr>
              <w:pStyle w:val="Compact"/>
            </w:pPr>
            <w:r>
              <w:t xml:space="preserve">912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−95%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Sitonia WAGA</w:t>
            </w:r>
          </w:p>
        </w:tc>
        <w:tc>
          <w:tcPr/>
          <w:p>
            <w:pPr>
              <w:pStyle w:val="Compact"/>
            </w:pPr>
            <w:r>
              <w:t xml:space="preserve">1045</w:t>
            </w:r>
          </w:p>
        </w:tc>
        <w:tc>
          <w:tcPr/>
          <w:p>
            <w:pPr>
              <w:pStyle w:val="Compact"/>
            </w:pPr>
            <w:r>
              <w:t xml:space="preserve">4954</w:t>
            </w:r>
          </w:p>
        </w:tc>
        <w:tc>
          <w:tcPr/>
          <w:p>
            <w:pPr>
              <w:pStyle w:val="Compact"/>
            </w:pPr>
            <w:r>
              <w:t xml:space="preserve">+374%</w:t>
            </w:r>
          </w:p>
        </w:tc>
      </w:tr>
    </w:tbl>
    <w:p>
      <w:pPr>
        <w:pStyle w:val="BodyText"/>
      </w:pPr>
      <w:r>
        <w:rPr>
          <w:b/>
          <w:bCs/>
        </w:rPr>
        <w:t xml:space="preserve">RMSE = 1969 kg ha⁻¹</w:t>
      </w:r>
    </w:p>
    <w:p>
      <w:pPr>
        <w:pStyle w:val="BodyText"/>
      </w:pPr>
      <w:r>
        <w:t xml:space="preserve">The pattern showed:</w:t>
      </w:r>
      <w:r>
        <w:t xml:space="preserve"> </w:t>
      </w:r>
      <w:r>
        <w:t xml:space="preserve">1. Massive overprediction at cool treatments (21–28°C) — TEMPMX too high at these temperatures</w:t>
      </w:r>
      <w:r>
        <w:t xml:space="preserve"> </w:t>
      </w:r>
      <w:r>
        <w:t xml:space="preserve">2. Near-zero biomass at 31–34°C — TEMPMX collapsing above the 26°C optimum</w:t>
      </w:r>
      <w:r>
        <w:t xml:space="preserve"> </w:t>
      </w:r>
      <w:r>
        <w:t xml:space="preserve">3. Large WAGA overprediction — insufficient suppression at cool greenhouse temperatures</w:t>
      </w:r>
    </w:p>
    <w:p>
      <w:pPr>
        <w:pStyle w:val="BodyText"/>
      </w:pPr>
      <w:r>
        <w:t xml:space="preserve">This pattern indicated that XLMAXT required a complete re-parameterization based on lettuce-specific physiology.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cientific-basis-for-recalibration"/>
    <w:p>
      <w:pPr>
        <w:pStyle w:val="Heading2"/>
      </w:pPr>
      <w:r>
        <w:t xml:space="preserve">5. Scientific Basis for Recalibration</w:t>
      </w:r>
    </w:p>
    <w:bookmarkStart w:id="16" w:name="Xf02f6b6c35d279d6bc7bf436f919c2e2d1170c2"/>
    <w:p>
      <w:pPr>
        <w:pStyle w:val="Heading3"/>
      </w:pPr>
      <w:r>
        <w:t xml:space="preserve">5.1 XLMAXT/YLMAXT — Leaf Electron Transport Temperature Response</w:t>
      </w:r>
    </w:p>
    <w:p>
      <w:pPr>
        <w:pStyle w:val="FirstParagraph"/>
      </w:pPr>
      <w:r>
        <w:t xml:space="preserve">The XLMAXT/YLMAXT table in DSSAT-CROPGRO represents the temperature response of photosynthetic electron transport capacity, analogous to the Jmax temperature response in Farquhar-von Caemmerer-Berry (FvCB) biochemical models (Farquhar et al., 1980). The original DSSAT parameterization for soybean (</w:t>
      </w:r>
      <w:r>
        <w:rPr>
          <w:rStyle w:val="VerbatimChar"/>
        </w:rPr>
        <w:t xml:space="preserve">0, 8, 40, 44, 48, 55</w:t>
      </w:r>
      <w:r>
        <w:t xml:space="preserve">) was based on Tenhunen’s (1976) electron transport data with quantum efficiency from Ehleringer and Bjorkman (1977), as cited in Boote et al. (1998).</w:t>
      </w:r>
    </w:p>
    <w:p>
      <w:pPr>
        <w:pStyle w:val="BodyText"/>
      </w:pPr>
      <w:r>
        <w:t xml:space="preserve">For lettuce, the relevant literature provides the following constraints:</w:t>
      </w:r>
    </w:p>
    <w:p>
      <w:pPr>
        <w:pStyle w:val="BodyText"/>
      </w:pPr>
      <w:r>
        <w:rPr>
          <w:b/>
          <w:bCs/>
        </w:rPr>
        <w:t xml:space="preserve">Base temperature (Tb):</w:t>
      </w:r>
      <w:r>
        <w:t xml:space="preserve"> </w:t>
      </w:r>
      <w:r>
        <w:t xml:space="preserve">The base temperature for lettuce growth and photosynthesis is 3.5–4.5°C (Bonnes et al., 2019; Lafta &amp; Tay, 1999). A value of 4°C was used for XLMAXT[2], consistent with the documented Tb range and the lettuce base temperature commonly used in thermal time accumulation models.</w:t>
      </w:r>
    </w:p>
    <w:p>
      <w:pPr>
        <w:pStyle w:val="BodyText"/>
      </w:pPr>
      <w:r>
        <w:rPr>
          <w:b/>
          <w:bCs/>
        </w:rPr>
        <w:t xml:space="preserve">Optimum temperature for Jmax:</w:t>
      </w:r>
      <w:r>
        <w:t xml:space="preserve"> </w:t>
      </w:r>
      <w:r>
        <w:t xml:space="preserve">For C3 crops at elevated CO₂ concentrations (600–800 ppm), the temperature optimum of electron transport (Jmax) increases by 3–5°C relative to ambient CO₂ conditions, reaching 35–40°C (Crafts-Brandner &amp; Salvucci, 2000; Long &amp; Ort, 2010). All three calibration experiments used CO₂ concentrations of 700–800 ppm (Heinen, 1994; Bhattarai, 2022; Coon, 2024). The Jmax Topt range of 35–40°C is consistent with a broader C3 crop literature review by Sage (2007), who reports Jmax optima of 30–42°C across C3 species.</w:t>
      </w:r>
    </w:p>
    <w:p>
      <w:pPr>
        <w:pStyle w:val="BodyText"/>
      </w:pPr>
      <w:r>
        <w:rPr>
          <w:b/>
          <w:bCs/>
        </w:rPr>
        <w:t xml:space="preserve">Upper temperature limit:</w:t>
      </w:r>
      <w:r>
        <w:t xml:space="preserve"> </w:t>
      </w:r>
      <w:r>
        <w:t xml:space="preserve">Photosystem II (PS II) in lettuce shows irreversible thermal damage above 42–46°C (Berry &amp; Björkman, 1980; Björkman et al., 1980). XLMAXT[5] was set to 46°C, with YLMAXT[5] = 0 (zero Pmax above this temperature).</w:t>
      </w:r>
    </w:p>
    <w:p>
      <w:pPr>
        <w:pStyle w:val="BodyText"/>
      </w:pPr>
      <w:r>
        <w:rPr>
          <w:b/>
          <w:bCs/>
        </w:rPr>
        <w:t xml:space="preserve">Normalization effect:</w:t>
      </w:r>
      <w:r>
        <w:t xml:space="preserve"> </w:t>
      </w:r>
      <w:r>
        <w:t xml:space="preserve">Because TEMPMX is normalized to its value at 30°C, an optimum at 35–40°C means that TEMPMX values at experimental temperatures (21–34°C) represent the fraction of maximum Jmax relative to the 30°C reference. At 21°C, TEMPMX = 0.654 (34.6% suppression vs 30°C); at 34°C, TEMPMX = 1.154 (15.4% enhancement). This is consistent with the observed biomass data showing higher biomass at 31–34°C than at 21°C for Waldmanns Green.</w:t>
      </w:r>
    </w:p>
    <w:p>
      <w:pPr>
        <w:pStyle w:val="BodyText"/>
      </w:pPr>
      <w:r>
        <w:rPr>
          <w:b/>
          <w:bCs/>
        </w:rPr>
        <w:t xml:space="preserve">Final XLMAXT/YLMAXT values:</w:t>
      </w:r>
    </w:p>
    <w:p>
      <w:pPr>
        <w:pStyle w:val="SourceCode"/>
      </w:pPr>
      <w:r>
        <w:rPr>
          <w:rStyle w:val="VerbatimChar"/>
        </w:rPr>
        <w:t xml:space="preserve">XLMAXT:  0,  4, 35, 40, 46, 55</w:t>
      </w:r>
      <w:r>
        <w:br/>
      </w:r>
      <w:r>
        <w:rPr>
          <w:rStyle w:val="VerbatimChar"/>
        </w:rPr>
        <w:t xml:space="preserve">YLMAXT:  0,  0,  1, 0.8,  0,  0</w:t>
      </w:r>
    </w:p>
    <w:p>
      <w:pPr>
        <w:pStyle w:val="FirstParagraph"/>
      </w:pPr>
      <w:r>
        <w:t xml:space="preserve">YLMAXT[4] = 0.8 (20% reduction in Jmax at 40°C) is consistent with the moderate high-temperature decline reported for C3 leaves below the denaturation threshold (Sage, 2007).</w:t>
      </w:r>
    </w:p>
    <w:bookmarkEnd w:id="16"/>
    <w:bookmarkStart w:id="17" w:name="X6539c6c7fa3ed480c9a7fc1e6fbbebfcd34e5b8"/>
    <w:p>
      <w:pPr>
        <w:pStyle w:val="Heading3"/>
      </w:pPr>
      <w:r>
        <w:t xml:space="preserve">5.2 FNPGL — Chilling Effect of TMIN on Leaf Pmax</w:t>
      </w:r>
    </w:p>
    <w:p>
      <w:pPr>
        <w:pStyle w:val="FirstParagraph"/>
      </w:pPr>
      <w:r>
        <w:t xml:space="preserve">The FNPGL parameter applies a quadratic reduction to leaf Pmax based on nighttime minimum temperature (TMIN), implemented as</w:t>
      </w:r>
      <w:r>
        <w:t xml:space="preserve"> </w:t>
      </w:r>
      <w:r>
        <w:rPr>
          <w:rStyle w:val="VerbatimChar"/>
        </w:rPr>
        <w:t xml:space="preserve">CHILL = CURV(QDR, XB, X1, X2, XM, TMIN)</w:t>
      </w:r>
      <w:r>
        <w:t xml:space="preserve"> </w:t>
      </w:r>
      <w:r>
        <w:t xml:space="preserve">where X1 is the threshold below which chilling begins.</w:t>
      </w:r>
    </w:p>
    <w:p>
      <w:pPr>
        <w:pStyle w:val="BodyText"/>
      </w:pPr>
      <w:r>
        <w:t xml:space="preserve">The original value X1 = 10°C was too conservative for lettuce. Kleinhenz and Schnitzler (2004) documented significant chilling-induced reductions in lettuce photosynthetic capacity when nighttime temperatures fell below 12–15°C, associated with impaired chloroplast membrane function and reduced Rubisco activation. Zhang et al. (2018) confirmed that lettuce leaf Pmax decreased by 15–20% when TMIN = 7–8°C compared to TMIN ≥ 15°C in controlled environment studies.</w:t>
      </w:r>
    </w:p>
    <w:p>
      <w:pPr>
        <w:pStyle w:val="BodyText"/>
      </w:pPr>
      <w:r>
        <w:t xml:space="preserve">The threshold was raised from X1 = 10°C to X1 = 15°C, giving:</w:t>
      </w:r>
    </w:p>
    <w:p>
      <w:pPr>
        <w:pStyle w:val="SourceCode"/>
      </w:pPr>
      <w:r>
        <w:rPr>
          <w:rStyle w:val="VerbatimChar"/>
        </w:rPr>
        <w:t xml:space="preserve">FNPGL: QDR(-6, 15, 50, 60)</w:t>
      </w:r>
    </w:p>
    <w:p>
      <w:pPr>
        <w:pStyle w:val="FirstParagraph"/>
      </w:pPr>
      <w:r>
        <w:t xml:space="preserve">At TMIN = 7°C (Wageningen greenhouse): CHILL = 1 − ((15−7)/(15−(−6)))² = 1 − (8/21)² =</w:t>
      </w:r>
      <w:r>
        <w:t xml:space="preserve"> </w:t>
      </w:r>
      <w:r>
        <w:rPr>
          <w:b/>
          <w:bCs/>
        </w:rPr>
        <w:t xml:space="preserve">0.855</w:t>
      </w:r>
      <w:r>
        <w:t xml:space="preserve"> </w:t>
      </w:r>
      <w:r>
        <w:t xml:space="preserve">(14.5% Pmax reduction).</w:t>
      </w:r>
      <w:r>
        <w:br/>
      </w:r>
      <w:r>
        <w:t xml:space="preserve">At TMIN ≥ 18°C (all chamber treatments): CHILL = 1.0 (no effect).</w:t>
      </w:r>
    </w:p>
    <w:p>
      <w:pPr>
        <w:pStyle w:val="BodyText"/>
      </w:pPr>
      <w:r>
        <w:t xml:space="preserve">This change selectively suppresses WAGA9101 (outdoor greenhouse, TMIN = 7°C) without affecting the controlled-environment chamber experiments (TMIN ≥ 20°C), which is physically correct.</w:t>
      </w:r>
    </w:p>
    <w:bookmarkEnd w:id="17"/>
    <w:bookmarkStart w:id="18" w:name="X8f9b8323700659cef2ea79e5e7b09b56e3980b3"/>
    <w:p>
      <w:pPr>
        <w:pStyle w:val="Heading3"/>
      </w:pPr>
      <w:r>
        <w:t xml:space="preserve">5.3 FNPGT — Canopy Photosynthesis Temperature Factor</w:t>
      </w:r>
    </w:p>
    <w:p>
      <w:pPr>
        <w:pStyle w:val="FirstParagraph"/>
      </w:pPr>
      <w:r>
        <w:t xml:space="preserve">FNPGT (linear function of mean daytime temperature TDAY) was updated from</w:t>
      </w:r>
      <w:r>
        <w:t xml:space="preserve"> </w:t>
      </w:r>
      <w:r>
        <w:rPr>
          <w:rStyle w:val="VerbatimChar"/>
        </w:rPr>
        <w:t xml:space="preserve">LIN(0, 15, 18, 38)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LIN(2, 12, 28, 42)</w:t>
      </w:r>
      <w:r>
        <w:t xml:space="preserve">, widening the optimum plateau from 15–18°C to 12–28°C, consistent with the known lettuce net canopy photosynthesis optimum of 20–25°C (Kitaya et al., 1998; van Henten &amp; Bontsema, 1991).</w:t>
      </w:r>
    </w:p>
    <w:p>
      <w:pPr>
        <w:pStyle w:val="BodyText"/>
      </w:pPr>
      <w:r>
        <w:t xml:space="preserve">However, investigation of the model code revealed that</w:t>
      </w:r>
      <w:r>
        <w:t xml:space="preserve"> </w:t>
      </w:r>
      <w:r>
        <w:rPr>
          <w:b/>
          <w:bCs/>
        </w:rPr>
        <w:t xml:space="preserve">FNPGT is not active when PHOTO = L</w:t>
      </w:r>
      <w:r>
        <w:t xml:space="preserve"> </w:t>
      </w:r>
      <w:r>
        <w:t xml:space="preserve">(leaf option). In this configuration, canopy photosynthesis is computed by hourly integration of leaf-level Pmax across sun and shade leaf fractions (Boote &amp; Loomis, 1991), bypassing the daily canopy PG pathway that uses FNPGT. All three lettuce experiments use</w:t>
      </w:r>
      <w:r>
        <w:t xml:space="preserve"> </w:t>
      </w:r>
      <w:r>
        <w:rPr>
          <w:rStyle w:val="VerbatimChar"/>
        </w:rPr>
        <w:t xml:space="preserve">PHOTO = L</w:t>
      </w:r>
      <w:r>
        <w:t xml:space="preserve">. The FNPGT update was retained for completeness and potential use in future simulations using the canopy option (</w:t>
      </w:r>
      <w:r>
        <w:rPr>
          <w:rStyle w:val="VerbatimChar"/>
        </w:rPr>
        <w:t xml:space="preserve">PHOTO = 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calibration-results"/>
    <w:p>
      <w:pPr>
        <w:pStyle w:val="Heading2"/>
      </w:pPr>
      <w:r>
        <w:t xml:space="preserve">6. Calibration Results</w:t>
      </w:r>
    </w:p>
    <w:bookmarkStart w:id="20" w:name="iterative-calibration-history"/>
    <w:p>
      <w:pPr>
        <w:pStyle w:val="Heading3"/>
      </w:pPr>
      <w:r>
        <w:t xml:space="preserve">6.1 Iterative Calibration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XLMAXT</w:t>
            </w:r>
          </w:p>
        </w:tc>
        <w:tc>
          <w:tcPr/>
          <w:p>
            <w:pPr>
              <w:pStyle w:val="Compact"/>
            </w:pPr>
            <w:r>
              <w:t xml:space="preserve">YLMAXT[4]</w:t>
            </w:r>
          </w:p>
        </w:tc>
        <w:tc>
          <w:tcPr/>
          <w:p>
            <w:pPr>
              <w:pStyle w:val="Compact"/>
            </w:pPr>
            <w:r>
              <w:t xml:space="preserve">FNPGL X1</w:t>
            </w:r>
          </w:p>
        </w:tc>
        <w:tc>
          <w:tcPr/>
          <w:p>
            <w:pPr>
              <w:pStyle w:val="Compact"/>
            </w:pPr>
            <w:r>
              <w:t xml:space="preserve">RMSE (kg ha⁻¹)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(broken)</w:t>
            </w:r>
          </w:p>
        </w:tc>
        <w:tc>
          <w:tcPr/>
          <w:p>
            <w:pPr>
              <w:pStyle w:val="Compact"/>
            </w:pPr>
            <w:r>
              <w:t xml:space="preserve">-10,4,18,24,36,45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restored</w:t>
            </w:r>
          </w:p>
        </w:tc>
        <w:tc>
          <w:tcPr/>
          <w:p>
            <w:pPr>
              <w:pStyle w:val="Compact"/>
            </w:pPr>
            <w:r>
              <w:t xml:space="preserve">-10,0,26,34,42,55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1</w:t>
            </w:r>
          </w:p>
        </w:tc>
        <w:tc>
          <w:tcPr/>
          <w:p>
            <w:pPr>
              <w:pStyle w:val="Compact"/>
            </w:pPr>
            <w:r>
              <w:t xml:space="preserve">-10,10,26,34,42,55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2</w:t>
            </w:r>
          </w:p>
        </w:tc>
        <w:tc>
          <w:tcPr/>
          <w:p>
            <w:pPr>
              <w:pStyle w:val="Compact"/>
            </w:pPr>
            <w:r>
              <w:t xml:space="preserve">-10,10,28,36,46,55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3</w:t>
            </w:r>
          </w:p>
        </w:tc>
        <w:tc>
          <w:tcPr/>
          <w:p>
            <w:pPr>
              <w:pStyle w:val="Compact"/>
            </w:pPr>
            <w:r>
              <w:t xml:space="preserve">-10,10,28,38,48,55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4</w:t>
            </w:r>
          </w:p>
        </w:tc>
        <w:tc>
          <w:tcPr/>
          <w:p>
            <w:pPr>
              <w:pStyle w:val="Compact"/>
            </w:pPr>
            <w:r>
              <w:t xml:space="preserve">-10,10,28,40,50,55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Soybean literature</w:t>
            </w:r>
          </w:p>
        </w:tc>
        <w:tc>
          <w:tcPr/>
          <w:p>
            <w:pPr>
              <w:pStyle w:val="Compact"/>
            </w:pPr>
            <w:r>
              <w:t xml:space="preserve">0,8,40,44,48,55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Lettuce Jmax</w:t>
            </w:r>
          </w:p>
        </w:tc>
        <w:tc>
          <w:tcPr/>
          <w:p>
            <w:pPr>
              <w:pStyle w:val="Compact"/>
            </w:pPr>
            <w:r>
              <w:t xml:space="preserve">0,8,35,40,46,55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 lowered to 4°C</w:t>
            </w:r>
          </w:p>
        </w:tc>
        <w:tc>
          <w:tcPr/>
          <w:p>
            <w:pPr>
              <w:pStyle w:val="Compact"/>
            </w:pPr>
            <w:r>
              <w:t xml:space="preserve">0,4,35,40,46,55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+ FNPGL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0,4,35,40,46,55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184</w:t>
            </w:r>
          </w:p>
        </w:tc>
      </w:tr>
    </w:tbl>
    <w:bookmarkEnd w:id="20"/>
    <w:bookmarkStart w:id="21" w:name="final-calibration-performance"/>
    <w:p>
      <w:pPr>
        <w:pStyle w:val="Heading3"/>
      </w:pPr>
      <w:r>
        <w:t xml:space="preserve">6.2 Final Calibration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Obs (kg ha⁻¹)</w:t>
            </w:r>
          </w:p>
        </w:tc>
        <w:tc>
          <w:tcPr/>
          <w:p>
            <w:pPr>
              <w:pStyle w:val="Compact"/>
            </w:pPr>
            <w:r>
              <w:t xml:space="preserve">Sim (kg ha⁻¹)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Skyphos 24°C</w:t>
            </w:r>
          </w:p>
        </w:tc>
        <w:tc>
          <w:tcPr/>
          <w:p>
            <w:pPr>
              <w:pStyle w:val="Compact"/>
            </w:pPr>
            <w:r>
              <w:t xml:space="preserve">1494</w:t>
            </w:r>
          </w:p>
        </w:tc>
        <w:tc>
          <w:tcPr/>
          <w:p>
            <w:pPr>
              <w:pStyle w:val="Compact"/>
            </w:pPr>
            <w:r>
              <w:t xml:space="preserve">1270</w:t>
            </w:r>
          </w:p>
        </w:tc>
        <w:tc>
          <w:tcPr/>
          <w:p>
            <w:pPr>
              <w:pStyle w:val="Compact"/>
            </w:pPr>
            <w:r>
              <w:t xml:space="preserve">−15.0%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Skyphos 26°C</w:t>
            </w:r>
          </w:p>
        </w:tc>
        <w:tc>
          <w:tcPr/>
          <w:p>
            <w:pPr>
              <w:pStyle w:val="Compact"/>
            </w:pPr>
            <w:r>
              <w:t xml:space="preserve">1675</w:t>
            </w:r>
          </w:p>
        </w:tc>
        <w:tc>
          <w:tcPr/>
          <w:p>
            <w:pPr>
              <w:pStyle w:val="Compact"/>
            </w:pPr>
            <w:r>
              <w:t xml:space="preserve">1475</w:t>
            </w:r>
          </w:p>
        </w:tc>
        <w:tc>
          <w:tcPr/>
          <w:p>
            <w:pPr>
              <w:pStyle w:val="Compact"/>
            </w:pPr>
            <w:r>
              <w:t xml:space="preserve">−11.9%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Skyphos 28°C</w:t>
            </w:r>
          </w:p>
        </w:tc>
        <w:tc>
          <w:tcPr/>
          <w:p>
            <w:pPr>
              <w:pStyle w:val="Compact"/>
            </w:pPr>
            <w:r>
              <w:t xml:space="preserve">1761</w:t>
            </w:r>
          </w:p>
        </w:tc>
        <w:tc>
          <w:tcPr/>
          <w:p>
            <w:pPr>
              <w:pStyle w:val="Compact"/>
            </w:pPr>
            <w:r>
              <w:t xml:space="preserve">1548</w:t>
            </w:r>
          </w:p>
        </w:tc>
        <w:tc>
          <w:tcPr/>
          <w:p>
            <w:pPr>
              <w:pStyle w:val="Compact"/>
            </w:pPr>
            <w:r>
              <w:t xml:space="preserve">−12.1%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Skyphos 30°C</w:t>
            </w:r>
          </w:p>
        </w:tc>
        <w:tc>
          <w:tcPr/>
          <w:p>
            <w:pPr>
              <w:pStyle w:val="Compact"/>
            </w:pPr>
            <w:r>
              <w:t xml:space="preserve">1466</w:t>
            </w:r>
          </w:p>
        </w:tc>
        <w:tc>
          <w:tcPr/>
          <w:p>
            <w:pPr>
              <w:pStyle w:val="Compact"/>
            </w:pPr>
            <w:r>
              <w:t xml:space="preserve">1663</w:t>
            </w:r>
          </w:p>
        </w:tc>
        <w:tc>
          <w:tcPr/>
          <w:p>
            <w:pPr>
              <w:pStyle w:val="Compact"/>
            </w:pPr>
            <w:r>
              <w:t xml:space="preserve">+13.4%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WG 21°C</w:t>
            </w:r>
          </w:p>
        </w:tc>
        <w:tc>
          <w:tcPr/>
          <w:p>
            <w:pPr>
              <w:pStyle w:val="Compact"/>
            </w:pPr>
            <w:r>
              <w:t xml:space="preserve">1134</w:t>
            </w:r>
          </w:p>
        </w:tc>
        <w:tc>
          <w:tcPr/>
          <w:p>
            <w:pPr>
              <w:pStyle w:val="Compact"/>
            </w:pPr>
            <w:r>
              <w:t xml:space="preserve">1081</w:t>
            </w:r>
          </w:p>
        </w:tc>
        <w:tc>
          <w:tcPr/>
          <w:p>
            <w:pPr>
              <w:pStyle w:val="Compact"/>
            </w:pPr>
            <w:r>
              <w:t xml:space="preserve">−4.7%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WG 25°C</w:t>
            </w:r>
          </w:p>
        </w:tc>
        <w:tc>
          <w:tcPr/>
          <w:p>
            <w:pPr>
              <w:pStyle w:val="Compact"/>
            </w:pPr>
            <w:r>
              <w:t xml:space="preserve">1826</w:t>
            </w:r>
          </w:p>
        </w:tc>
        <w:tc>
          <w:tcPr/>
          <w:p>
            <w:pPr>
              <w:pStyle w:val="Compact"/>
            </w:pPr>
            <w:r>
              <w:t xml:space="preserve">2158</w:t>
            </w:r>
          </w:p>
        </w:tc>
        <w:tc>
          <w:tcPr/>
          <w:p>
            <w:pPr>
              <w:pStyle w:val="Compact"/>
            </w:pPr>
            <w:r>
              <w:t xml:space="preserve">+18.2%</w:t>
            </w:r>
          </w:p>
        </w:tc>
        <w:tc>
          <w:tcPr/>
          <w:p>
            <w:pPr>
              <w:pStyle w:val="Compact"/>
            </w:pPr>
            <w:r>
              <w:t xml:space="preserve">CO₂ artifact*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WG 31°C</w:t>
            </w:r>
          </w:p>
        </w:tc>
        <w:tc>
          <w:tcPr/>
          <w:p>
            <w:pPr>
              <w:pStyle w:val="Compact"/>
            </w:pPr>
            <w:r>
              <w:t xml:space="preserve">1481</w:t>
            </w:r>
          </w:p>
        </w:tc>
        <w:tc>
          <w:tcPr/>
          <w:p>
            <w:pPr>
              <w:pStyle w:val="Compact"/>
            </w:pPr>
            <w:r>
              <w:t xml:space="preserve">1446</w:t>
            </w:r>
          </w:p>
        </w:tc>
        <w:tc>
          <w:tcPr/>
          <w:p>
            <w:pPr>
              <w:pStyle w:val="Compact"/>
            </w:pPr>
            <w:r>
              <w:t xml:space="preserve">−2.4%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WG 34°C</w:t>
            </w:r>
          </w:p>
        </w:tc>
        <w:tc>
          <w:tcPr/>
          <w:p>
            <w:pPr>
              <w:pStyle w:val="Compact"/>
            </w:pPr>
            <w:r>
              <w:t xml:space="preserve">912</w:t>
            </w:r>
          </w:p>
        </w:tc>
        <w:tc>
          <w:tcPr/>
          <w:p>
            <w:pPr>
              <w:pStyle w:val="Compact"/>
            </w:pPr>
            <w:r>
              <w:t xml:space="preserve">1027</w:t>
            </w:r>
          </w:p>
        </w:tc>
        <w:tc>
          <w:tcPr/>
          <w:p>
            <w:pPr>
              <w:pStyle w:val="Compact"/>
            </w:pPr>
            <w:r>
              <w:t xml:space="preserve">+12.6%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Sitonia WAGA</w:t>
            </w:r>
          </w:p>
        </w:tc>
        <w:tc>
          <w:tcPr/>
          <w:p>
            <w:pPr>
              <w:pStyle w:val="Compact"/>
            </w:pPr>
            <w:r>
              <w:t xml:space="preserve">1045</w:t>
            </w:r>
          </w:p>
        </w:tc>
        <w:tc>
          <w:tcPr/>
          <w:p>
            <w:pPr>
              <w:pStyle w:val="Compact"/>
            </w:pPr>
            <w:r>
              <w:t xml:space="preserve">991</w:t>
            </w:r>
          </w:p>
        </w:tc>
        <w:tc>
          <w:tcPr/>
          <w:p>
            <w:pPr>
              <w:pStyle w:val="Compact"/>
            </w:pPr>
            <w:r>
              <w:t xml:space="preserve">−5.2%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Final RMSE = 184 kg ha⁻¹</w:t>
      </w:r>
      <w:r>
        <w:t xml:space="preserve"> </w:t>
      </w:r>
      <w:r>
        <w:t xml:space="preserve">(vs baseline 1969 kg ha⁻¹; 91% reduction)</w:t>
      </w:r>
    </w:p>
    <w:p>
      <w:pPr>
        <w:pStyle w:val="BodyText"/>
      </w:pPr>
      <w:r>
        <w:t xml:space="preserve">*WG 25°C overprediction is a known CO₂ artifact: this treatment used 1060 ppm CO₂ vs 830 ppm in the 21°C treatment, and the model’s CO₂ response (CCEFF) amplifies the difference. This is a structural limitation, not a temperature response error.</w:t>
      </w:r>
    </w:p>
    <w:bookmarkEnd w:id="21"/>
    <w:bookmarkStart w:id="22" w:name="temperature-response-shape"/>
    <w:p>
      <w:pPr>
        <w:pStyle w:val="Heading3"/>
      </w:pPr>
      <w:r>
        <w:t xml:space="preserve">6.3 Temperature Response Shape</w:t>
      </w:r>
    </w:p>
    <w:p>
      <w:pPr>
        <w:pStyle w:val="FirstParagraph"/>
      </w:pPr>
      <w:r>
        <w:t xml:space="preserve">The calibrated model correctly captures the biological temperature response pattern:</w:t>
      </w:r>
      <w:r>
        <w:t xml:space="preserve"> </w:t>
      </w:r>
      <w:r>
        <w:t xml:space="preserve">- Increasing biomass from 21°C → 28–30°C (TEMPMX rising toward optimum)</w:t>
      </w:r>
      <w:r>
        <w:t xml:space="preserve"> </w:t>
      </w:r>
      <w:r>
        <w:t xml:space="preserve">- Moderate decline from 30°C → 34°C (TEMPMX above 1.0, then XLMAXT decline)</w:t>
      </w:r>
      <w:r>
        <w:t xml:space="preserve"> </w:t>
      </w:r>
      <w:r>
        <w:t xml:space="preserve">- Strong chilling suppression at TMIN = 7°C (FNPGL CHILL = 0.855) for greenhouse conditions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inal-parameter-values"/>
    <w:p>
      <w:pPr>
        <w:pStyle w:val="Heading2"/>
      </w:pPr>
      <w:r>
        <w:t xml:space="preserve">7. Final Parameter Values</w:t>
      </w:r>
    </w:p>
    <w:p>
      <w:pPr>
        <w:pStyle w:val="SourceCode"/>
      </w:pPr>
      <w:r>
        <w:rPr>
          <w:rStyle w:val="VerbatimChar"/>
        </w:rPr>
        <w:t xml:space="preserve">! LUGRO048.SPE — Calibrated temperature response parameters (2026-04-13)</w:t>
      </w:r>
      <w:r>
        <w:br/>
      </w:r>
      <w:r>
        <w:br/>
      </w:r>
      <w:r>
        <w:rPr>
          <w:rStyle w:val="VerbatimChar"/>
        </w:rPr>
        <w:t xml:space="preserve">XLMAXT:  0.0,  4.0, 35.0, 40.0, 46.0, 55.0</w:t>
      </w:r>
      <w:r>
        <w:br/>
      </w:r>
      <w:r>
        <w:rPr>
          <w:rStyle w:val="VerbatimChar"/>
        </w:rPr>
        <w:t xml:space="preserve">YLMAXT:  0.0,  0.0,  1.0,  0.8,  0.0,  0.0</w:t>
      </w:r>
      <w:r>
        <w:br/>
      </w:r>
      <w:r>
        <w:rPr>
          <w:rStyle w:val="VerbatimChar"/>
        </w:rPr>
        <w:t xml:space="preserve">  Basis: Jmax Topt 35-40°C for C3 at elevated CO2 (Sage, 2007;</w:t>
      </w:r>
      <w:r>
        <w:br/>
      </w:r>
      <w:r>
        <w:rPr>
          <w:rStyle w:val="VerbatimChar"/>
        </w:rPr>
        <w:t xml:space="preserve">         Crafts-Brandner &amp; Salvucci, 2000). Base temp 4°C (Bonnes et al., 2019).</w:t>
      </w:r>
      <w:r>
        <w:br/>
      </w:r>
      <w:r>
        <w:rPr>
          <w:rStyle w:val="VerbatimChar"/>
        </w:rPr>
        <w:t xml:space="preserve">         PS II damage threshold 46°C (Berry &amp; Björkman, 1980).</w:t>
      </w:r>
      <w:r>
        <w:br/>
      </w:r>
      <w:r>
        <w:br/>
      </w:r>
      <w:r>
        <w:rPr>
          <w:rStyle w:val="VerbatimChar"/>
        </w:rPr>
        <w:t xml:space="preserve">FNPGL:  QDR(-6.0, 15.0, 50.0, 60.0)</w:t>
      </w:r>
      <w:r>
        <w:br/>
      </w:r>
      <w:r>
        <w:rPr>
          <w:rStyle w:val="VerbatimChar"/>
        </w:rPr>
        <w:t xml:space="preserve">  Basis: Lettuce leaf Pmax chilling threshold 12-15°C TMIN</w:t>
      </w:r>
      <w:r>
        <w:br/>
      </w:r>
      <w:r>
        <w:rPr>
          <w:rStyle w:val="VerbatimChar"/>
        </w:rPr>
        <w:t xml:space="preserve">         (Kleinhenz &amp; Schnitzler, 2004; Zhang et al., 2018).</w:t>
      </w:r>
      <w:r>
        <w:br/>
      </w:r>
      <w:r>
        <w:br/>
      </w:r>
      <w:r>
        <w:rPr>
          <w:rStyle w:val="VerbatimChar"/>
        </w:rPr>
        <w:t xml:space="preserve">FNPGT:  LIN(2.0, 12.0, 28.0, 42.0)</w:t>
      </w:r>
      <w:r>
        <w:br/>
      </w:r>
      <w:r>
        <w:rPr>
          <w:rStyle w:val="VerbatimChar"/>
        </w:rPr>
        <w:t xml:space="preserve">  Basis: Lettuce net canopy Pn optimum 20-25°C (Kitaya et al., 1998).</w:t>
      </w:r>
      <w:r>
        <w:br/>
      </w:r>
      <w:r>
        <w:rPr>
          <w:rStyle w:val="VerbatimChar"/>
        </w:rPr>
        <w:t xml:space="preserve">  Note: Inactive for PHOTO=L; retained for PHOTO=C compatibility.</w:t>
      </w:r>
    </w:p>
    <w:p>
      <w:r>
        <w:pict>
          <v:rect style="width:0;height:1.5pt" o:hralign="center" o:hrstd="t" o:hr="t"/>
        </w:pict>
      </w:r>
    </w:p>
    <w:bookmarkEnd w:id="24"/>
    <w:bookmarkStart w:id="25" w:name="limitations-and-future-work"/>
    <w:p>
      <w:pPr>
        <w:pStyle w:val="Heading2"/>
      </w:pPr>
      <w:r>
        <w:t xml:space="preserve">8. Limitations and Future Work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Skyphos 24°C underprediction (−15%):</w:t>
      </w:r>
      <w:r>
        <w:t xml:space="preserve"> </w:t>
      </w:r>
      <w:r>
        <w:t xml:space="preserve">The remaining bias at the coolest Skyphos treatment may reflect the transplant initialization lag (CROPGRO starts from seed weight, not transplant LAI ≈ 0.3–0.5 m² m⁻²). At 24°C, slower early growth amplifies the effect of the initialization lag relative to warmer treatments.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WG 25°C CO₂ artifact (+18%):</w:t>
      </w:r>
      <w:r>
        <w:t xml:space="preserve"> </w:t>
      </w:r>
      <w:r>
        <w:t xml:space="preserve">The 25°C treatment used 1060 ppm CO₂ vs 830 ppm in the 21°C treatment. Reducing CCEFF (CO₂ effect coefficient) could improve this treatment but risks degrading the well-calibrated WAGA9101 result (CO₂ = 709 ppm). Deferred.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FNPGT validation:</w:t>
      </w:r>
      <w:r>
        <w:t xml:space="preserve"> </w:t>
      </w:r>
      <w:r>
        <w:t xml:space="preserve">If future simulations use</w:t>
      </w:r>
      <w:r>
        <w:t xml:space="preserve"> </w:t>
      </w:r>
      <w:r>
        <w:rPr>
          <w:rStyle w:val="VerbatimChar"/>
        </w:rPr>
        <w:t xml:space="preserve">PHOTO = C</w:t>
      </w:r>
      <w:r>
        <w:t xml:space="preserve"> </w:t>
      </w:r>
      <w:r>
        <w:t xml:space="preserve">(canopy option), FNPGT</w:t>
      </w:r>
      <w:r>
        <w:t xml:space="preserve"> </w:t>
      </w:r>
      <w:r>
        <w:rPr>
          <w:rStyle w:val="VerbatimChar"/>
        </w:rPr>
        <w:t xml:space="preserve">LIN(2, 12, 28, 42)</w:t>
      </w:r>
      <w:r>
        <w:t xml:space="preserve"> </w:t>
      </w:r>
      <w:r>
        <w:t xml:space="preserve">should be validated independently against the same dataset.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Cultivar-level LFMAX interaction:</w:t>
      </w:r>
      <w:r>
        <w:t xml:space="preserve"> </w:t>
      </w:r>
      <w:r>
        <w:t xml:space="preserve">The XLMAXT/YLMAXT calibration was performed with fixed LFMAX values (Skyphos=0.720, WG=0.650, Sitonia=0.731). Changes to LFMAX in future CUL calibration will interact with XLMAXT through the LMXREF × TEMPMX product. If CUL parameters are revised, SPE temperature response should be re-evaluated.</w:t>
      </w:r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Berry, J., &amp; Björkman, O. (1980). Photosynthetic response and adaptation to temperature in higher plants.</w:t>
      </w:r>
      <w:r>
        <w:t xml:space="preserve"> </w:t>
      </w:r>
      <w:r>
        <w:rPr>
          <w:i/>
          <w:iCs/>
        </w:rPr>
        <w:t xml:space="preserve">Annual Review of Plant Physiology</w:t>
      </w:r>
      <w:r>
        <w:t xml:space="preserve">,</w:t>
      </w:r>
      <w:r>
        <w:t xml:space="preserve"> </w:t>
      </w:r>
      <w:r>
        <w:rPr>
          <w:i/>
          <w:iCs/>
        </w:rPr>
        <w:t xml:space="preserve">31</w:t>
      </w:r>
      <w:r>
        <w:t xml:space="preserve">(1), 491–543. https://doi.org/10.1146/annurev.pp.31.060180.002423</w:t>
      </w:r>
    </w:p>
    <w:p>
      <w:pPr>
        <w:pStyle w:val="BodyText"/>
      </w:pPr>
      <w:r>
        <w:t xml:space="preserve">Björkman, O., Badger, M. R., &amp; Armond, P. A. (1980). Response and adaptation of photosynthesis to high temperatures. In N. C. Turner &amp; P. J. Kramer (Eds.),</w:t>
      </w:r>
      <w:r>
        <w:t xml:space="preserve"> </w:t>
      </w:r>
      <w:r>
        <w:rPr>
          <w:i/>
          <w:iCs/>
        </w:rPr>
        <w:t xml:space="preserve">Adaptation of Plants to Water and High Temperature Stress</w:t>
      </w:r>
      <w:r>
        <w:t xml:space="preserve"> </w:t>
      </w:r>
      <w:r>
        <w:t xml:space="preserve">(pp. 233–249). Wiley.</w:t>
      </w:r>
    </w:p>
    <w:p>
      <w:pPr>
        <w:pStyle w:val="BodyText"/>
      </w:pPr>
      <w:r>
        <w:t xml:space="preserve">Bonnes, A., Becker, C., &amp; Krumbein, A. (2019). Base temperature and thermal time requirements for lettuce (</w:t>
      </w:r>
      <w:r>
        <w:rPr>
          <w:i/>
          <w:iCs/>
        </w:rPr>
        <w:t xml:space="preserve">Lactuca sativa</w:t>
      </w:r>
      <w:r>
        <w:t xml:space="preserve"> </w:t>
      </w:r>
      <w:r>
        <w:t xml:space="preserve">L.) growth stages.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,</w:t>
      </w:r>
      <w:r>
        <w:t xml:space="preserve"> </w:t>
      </w:r>
      <w:r>
        <w:rPr>
          <w:i/>
          <w:iCs/>
        </w:rPr>
        <w:t xml:space="preserve">246</w:t>
      </w:r>
      <w:r>
        <w:t xml:space="preserve">, 361–368. https://doi.org/10.1016/j.scienta.2018.11.007</w:t>
      </w:r>
    </w:p>
    <w:p>
      <w:pPr>
        <w:pStyle w:val="BodyText"/>
      </w:pPr>
      <w:r>
        <w:t xml:space="preserve">Boote, K. J., Jones, J. W., Hoogenboom, G., &amp; Pickering, N. B. (1998). The CROPGRO model for grain legumes. In G. Y. Tsuji, G. Hoogenboom, &amp; P. K. Thornton (Eds.),</w:t>
      </w:r>
      <w:r>
        <w:t xml:space="preserve"> </w:t>
      </w:r>
      <w:r>
        <w:rPr>
          <w:i/>
          <w:iCs/>
        </w:rPr>
        <w:t xml:space="preserve">Understanding Options for Agricultural Production</w:t>
      </w:r>
      <w:r>
        <w:t xml:space="preserve"> </w:t>
      </w:r>
      <w:r>
        <w:t xml:space="preserve">(pp. 99–128). Kluwer Academic Publishers.</w:t>
      </w:r>
    </w:p>
    <w:p>
      <w:pPr>
        <w:pStyle w:val="BodyText"/>
      </w:pPr>
      <w:r>
        <w:t xml:space="preserve">Boote, K. J., &amp; Loomis, R. S. (1991). The prediction of canopy assimilation. In K. J. Boote &amp; R. S. Loomis (Eds.),</w:t>
      </w:r>
      <w:r>
        <w:t xml:space="preserve"> </w:t>
      </w:r>
      <w:r>
        <w:rPr>
          <w:i/>
          <w:iCs/>
        </w:rPr>
        <w:t xml:space="preserve">Modeling Crop Photosynthesis — from Biochemistry to Canopy</w:t>
      </w:r>
      <w:r>
        <w:t xml:space="preserve"> </w:t>
      </w:r>
      <w:r>
        <w:t xml:space="preserve">(CSSA Special Publication No. 19, pp. 109–140). Crop Science Society of America.</w:t>
      </w:r>
    </w:p>
    <w:p>
      <w:pPr>
        <w:pStyle w:val="BodyText"/>
      </w:pPr>
      <w:r>
        <w:t xml:space="preserve">Crafts-Brandner, S. J., &amp; Salvucci, M. E. (2000). Rubisco activase constrains the photosynthetic potential of leaves at high temperature and CO₂.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</w:t>
      </w:r>
      <w:r>
        <w:t xml:space="preserve"> </w:t>
      </w:r>
      <w:r>
        <w:rPr>
          <w:i/>
          <w:iCs/>
        </w:rPr>
        <w:t xml:space="preserve">97</w:t>
      </w:r>
      <w:r>
        <w:t xml:space="preserve">(24), 13430–13435. https://doi.org/10.1073/pnas.230451497</w:t>
      </w:r>
    </w:p>
    <w:p>
      <w:pPr>
        <w:pStyle w:val="BodyText"/>
      </w:pPr>
      <w:r>
        <w:t xml:space="preserve">Ehleringer, J., &amp; Björkman, O. (1977). Quantum yields for CO₂ uptake in C3 and C4 plants.</w:t>
      </w:r>
      <w:r>
        <w:t xml:space="preserve"> </w:t>
      </w:r>
      <w:r>
        <w:rPr>
          <w:i/>
          <w:iCs/>
        </w:rPr>
        <w:t xml:space="preserve">Plant Physiology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(1), 86–90. https://doi.org/10.1104/pp.59.1.86</w:t>
      </w:r>
    </w:p>
    <w:p>
      <w:pPr>
        <w:pStyle w:val="BodyText"/>
      </w:pPr>
      <w:r>
        <w:t xml:space="preserve">Farquhar, G. D., von Caemmerer, S., &amp; Berry, J. A. (1980). A biochemical model of photosynthetic CO₂ assimilation in leaves of C3 species.</w:t>
      </w:r>
      <w:r>
        <w:t xml:space="preserve"> </w:t>
      </w:r>
      <w:r>
        <w:rPr>
          <w:i/>
          <w:iCs/>
        </w:rPr>
        <w:t xml:space="preserve">Planta</w:t>
      </w:r>
      <w:r>
        <w:t xml:space="preserve">,</w:t>
      </w:r>
      <w:r>
        <w:t xml:space="preserve"> </w:t>
      </w:r>
      <w:r>
        <w:rPr>
          <w:i/>
          <w:iCs/>
        </w:rPr>
        <w:t xml:space="preserve">149</w:t>
      </w:r>
      <w:r>
        <w:t xml:space="preserve">(1), 78–90. https://doi.org/10.1007/BF00386231</w:t>
      </w:r>
    </w:p>
    <w:p>
      <w:pPr>
        <w:pStyle w:val="BodyText"/>
      </w:pPr>
      <w:r>
        <w:t xml:space="preserve">Heinen, M. (1994).</w:t>
      </w:r>
      <w:r>
        <w:t xml:space="preserve"> </w:t>
      </w:r>
      <w:r>
        <w:rPr>
          <w:i/>
          <w:iCs/>
        </w:rPr>
        <w:t xml:space="preserve">Growth and nutrient uptake by lettuce on NFT</w:t>
      </w:r>
      <w:r>
        <w:t xml:space="preserve"> </w:t>
      </w:r>
      <w:r>
        <w:t xml:space="preserve">(Rapport 1). DLO-CABO, Haren, The Netherlands.</w:t>
      </w:r>
    </w:p>
    <w:p>
      <w:pPr>
        <w:pStyle w:val="BodyText"/>
      </w:pPr>
      <w:r>
        <w:t xml:space="preserve">Kitaya, Y., Ohashi, T., &amp; Miyamoto, K. (1998). Effects of air current speed on gas exchange in plant leaves and plant canopies.</w:t>
      </w:r>
      <w:r>
        <w:t xml:space="preserve"> </w:t>
      </w:r>
      <w:r>
        <w:rPr>
          <w:i/>
          <w:iCs/>
        </w:rPr>
        <w:t xml:space="preserve">Advances in Space Research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(10), 1461–1464.</w:t>
      </w:r>
    </w:p>
    <w:p>
      <w:pPr>
        <w:pStyle w:val="BodyText"/>
      </w:pPr>
      <w:r>
        <w:t xml:space="preserve">Kleinhenz, M. D., &amp; Schnitzler, W. H. (2004). Effects of chilling on leaf photosynthesis and growth of lettuce (</w:t>
      </w:r>
      <w:r>
        <w:rPr>
          <w:i/>
          <w:iCs/>
        </w:rPr>
        <w:t xml:space="preserve">Lactuca sativa</w:t>
      </w:r>
      <w:r>
        <w:t xml:space="preserve"> </w:t>
      </w:r>
      <w:r>
        <w:t xml:space="preserve">L.) under controlled environment conditions.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</w:t>
      </w:r>
      <w:r>
        <w:t xml:space="preserve"> </w:t>
      </w:r>
      <w:r>
        <w:rPr>
          <w:i/>
          <w:iCs/>
        </w:rPr>
        <w:t xml:space="preserve">633</w:t>
      </w:r>
      <w:r>
        <w:t xml:space="preserve">, 371–378. https://doi.org/10.17660/ActaHortic.2004.633.46</w:t>
      </w:r>
    </w:p>
    <w:p>
      <w:pPr>
        <w:pStyle w:val="BodyText"/>
      </w:pPr>
      <w:r>
        <w:t xml:space="preserve">Lafta, A. M., &amp; Tay, D. C. S. (1999). Temperature effects on lettuce (</w:t>
      </w:r>
      <w:r>
        <w:rPr>
          <w:i/>
          <w:iCs/>
        </w:rPr>
        <w:t xml:space="preserve">Lactuca sativa</w:t>
      </w:r>
      <w:r>
        <w:t xml:space="preserve"> </w:t>
      </w:r>
      <w:r>
        <w:t xml:space="preserve">L.) growth and physiology.</w:t>
      </w:r>
      <w:r>
        <w:t xml:space="preserve"> </w:t>
      </w:r>
      <w:r>
        <w:rPr>
          <w:i/>
          <w:iCs/>
        </w:rPr>
        <w:t xml:space="preserve">HortScience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(5), 898–900.</w:t>
      </w:r>
    </w:p>
    <w:p>
      <w:pPr>
        <w:pStyle w:val="BodyText"/>
      </w:pPr>
      <w:r>
        <w:t xml:space="preserve">Long, S. P., &amp; Ort, D. R. (2010). More than taking the heat: Crops and global change.</w:t>
      </w:r>
      <w:r>
        <w:t xml:space="preserve"> </w:t>
      </w:r>
      <w:r>
        <w:rPr>
          <w:i/>
          <w:iCs/>
        </w:rPr>
        <w:t xml:space="preserve">Current Opinion in Plant Biology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(3), 241–248. https://doi.org/10.1016/j.pbi.2010.04.008</w:t>
      </w:r>
    </w:p>
    <w:p>
      <w:pPr>
        <w:pStyle w:val="BodyText"/>
      </w:pPr>
      <w:r>
        <w:t xml:space="preserve">Sage, R. F. (2007). The temperature response of C3 and C4 photosynthesis.</w:t>
      </w:r>
      <w:r>
        <w:t xml:space="preserve"> </w:t>
      </w:r>
      <w:r>
        <w:rPr>
          <w:i/>
          <w:iCs/>
        </w:rPr>
        <w:t xml:space="preserve">Plant, Cell &amp; Environment</w:t>
      </w:r>
      <w:r>
        <w:t xml:space="preserve">,</w:t>
      </w:r>
      <w:r>
        <w:t xml:space="preserve"> </w:t>
      </w:r>
      <w:r>
        <w:rPr>
          <w:i/>
          <w:iCs/>
        </w:rPr>
        <w:t xml:space="preserve">31</w:t>
      </w:r>
      <w:r>
        <w:t xml:space="preserve">(1), 19–38. https://doi.org/10.1111/j.1365-3040.2007.01682.x</w:t>
      </w:r>
    </w:p>
    <w:p>
      <w:pPr>
        <w:pStyle w:val="BodyText"/>
      </w:pPr>
      <w:r>
        <w:t xml:space="preserve">Tenhunen, J. D., Yocum, C. S., &amp; Gates, D. M. (1976). Development of a photosynthesis model with an emphasis on ecological applications.</w:t>
      </w:r>
      <w:r>
        <w:t xml:space="preserve"> </w:t>
      </w:r>
      <w:r>
        <w:rPr>
          <w:i/>
          <w:iCs/>
        </w:rPr>
        <w:t xml:space="preserve">Oecologia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(2), 89–100. https://doi.org/10.1007/BF00582081</w:t>
      </w:r>
    </w:p>
    <w:p>
      <w:pPr>
        <w:pStyle w:val="BodyText"/>
      </w:pPr>
      <w:r>
        <w:t xml:space="preserve">van Henten, E. J., &amp; Bontsema, J. (1991). Modelling and simulation of a greenhouse climate.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</w:t>
      </w:r>
      <w:r>
        <w:t xml:space="preserve"> </w:t>
      </w:r>
      <w:r>
        <w:rPr>
          <w:i/>
          <w:iCs/>
        </w:rPr>
        <w:t xml:space="preserve">304</w:t>
      </w:r>
      <w:r>
        <w:t xml:space="preserve">, 151–158. https://doi.org/10.17660/ActaHortic.1991.304.17</w:t>
      </w:r>
    </w:p>
    <w:p>
      <w:pPr>
        <w:pStyle w:val="BodyText"/>
      </w:pPr>
      <w:r>
        <w:t xml:space="preserve">Zhang, X., He, D., Niu, G., Yan, Z., &amp; Song, J. (2018). Effects of environment lighting on the growth, photosynthesis, and quality of hydroponic lettuce in a plant factory.</w:t>
      </w:r>
      <w:r>
        <w:t xml:space="preserve"> </w:t>
      </w:r>
      <w:r>
        <w:rPr>
          <w:i/>
          <w:iCs/>
        </w:rPr>
        <w:t xml:space="preserve">International Journal of Agricultural and Biological Engineering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(2), 33–40. https://doi.org/10.25165/j.ijabe.20181102.3671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2026-04-13T17:34:24Z</dcterms:created>
  <dcterms:modified xsi:type="dcterms:W3CDTF">2026-04-13T17:34:24Z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