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March 2013</w:t>
      </w:r>
    </w:p>
    <w:p>
      <w:pPr>
        <w:pStyle w:val="Heading1"/>
      </w:pPr>
      <w:r>
        <w:t xml:space="preserve">Centenary of Canberra celebrated by Australia Post</w:t>
      </w:r>
    </w:p>
    <w:p>
      <w:r>
        <w:t xml:space="preserve">05 March 2013</w:t>
      </w:r>
    </w:p>
    <w:p>
      <w:r>
        <w:t xml:space="preserve">The nation is celebrating 100 years since the birth of the national capital, Canberra, and Australia Post is marking this historic occasion with the release of one domestic base-rate (60c) stamp and one international-rate ($2.35) stamp.Australia's Parliament House and the National Portrait Gallery are featured on the stamps with the original architectural plan for the city by Walter Burley Griffin and Marion Mahony Griffin incorporated into the stamp designs.Australia Post Philatelic Manager, Michael Zsolt said: "This commemorative stamp issue enables all Australians to reflect on the importance of the city of Canberra in the development of our nation."Centenary of Canberra Creative Director, Robyn Archer AO said, "As a sometime stamp collector with a love of beautiful design, I feel honoured that the Centenary of Canberra has been acknowledged in this issue. I know how much valuable information is communicated via stamps and this is a terrific way to inform all Australians of this important anniversary and to collectors worldwide. The stamps look great and appropriately reflect both the past and present of our national capital."Canberra was selected as our nation's capital in 1908 with the official foundation ceremony occurring on 12 March 1913. Officiating at the ceremony were the Prime Minister, Andrew Fisher; King O'Malley, Minister for Home Affairs; and the Governor-General, Lord Denman. Lady Denman stood upon the newly laid Foundation Stones and announced that the name of the new Australian capital would be Canberra.Following an international competition for the city's design, plans by Chicago architects Walter Burley Griffin and Marion Mahony Griffin were chosen as the blueprint for the city we now know. The Griffins' visionary design featured geometric motifs and incorporated the site's natural vegetation and topographical landmarks.Today Canberra has a population of 358,000 and is the location for Parliament House, the High Court and numerous government departments and agencies. Many national cultural institutions are also in Canberra including the National Portrait Gallery, Museum of Australia, National Library and National Gallery of Australia.The stamps were designed by Melbourne-based Mary Callahan Design.The products available include a first day cover, stamp pack, maxicard set of two, postcard, postal and numismatic cover, prestige booklet, roll of 200 x 60c self-adhesive stamps and a booklet of 20 x 60c self-adhesive stamps. The Centenary of Canberra stamp issue is available from 5 March 2013 at participating Australia Post retail outlets,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2026-06-04T10:28:25.495Z</dcterms:created>
  <dcterms:modified xsi:type="dcterms:W3CDTF">2026-06-04T10:28:25.495Z</dcterms:modified>
</cp:coreProperties>
</file>

<file path=docProps/custom.xml><?xml version="1.0" encoding="utf-8"?>
<Properties xmlns="http://schemas.openxmlformats.org/officeDocument/2006/custom-properties" xmlns:vt="http://schemas.openxmlformats.org/officeDocument/2006/docPropsVTypes"/>
</file>