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December 2014</w:t>
      </w:r>
    </w:p>
    <w:p>
      <w:pPr>
        <w:pStyle w:val="Heading1"/>
      </w:pPr>
      <w:r>
        <w:t xml:space="preserve">Australia Post announces further support for Licensed Post Office network</w:t>
      </w:r>
    </w:p>
    <w:p>
      <w:r>
        <w:t xml:space="preserve">15 December 2014</w:t>
      </w:r>
    </w:p>
    <w:p>
      <w:r>
        <w:t xml:space="preserve">Australia Post today announced a wide range of initiatives to further support more than 2,900 post office licensees.</w:t>
      </w:r>
    </w:p>
    <w:p>
      <w:r>
        <w:t xml:space="preserve">Benefits will start flowing through the post office network early next year, with more than $41 million in post office box payments brought forward by three months to help manage the ongoing sustainability of licensed post offices in the face of declining mail volumes.</w:t>
      </w:r>
    </w:p>
    <w:p>
      <w:r>
        <w:t xml:space="preserve">Other key measures include establishing a third-party independent study into the sustainability of the licensed post office network and a new formal working group with licensee representative bodies to help address strategic challenges facing the network. This group will be independently chaired by former Senator Helen Kroger.</w:t>
      </w:r>
    </w:p>
    <w:p>
      <w:r>
        <w:t xml:space="preserve">Managing Director and Group Chief Executive Officer, Ahmed Fahour, said Australia Post was committed to maintaining its extensive post office network, in which licensees played a large and critical role, as part of its reform program. "In more recent times, with overall customer numbers and letter volumes declining, the business environment for both licensees and Australia Post has become more challenging and we are looking at a number of ways to address this," Mr Fahour said.</w:t>
      </w:r>
    </w:p>
    <w:p>
      <w:r>
        <w:t xml:space="preserve">"We are currently establishing an agreed terms of reference for a formal independent study into our licensed post office network, to be conducted by a third-party. The findings of this study will form part of a broader review into the structure and value of payments to licensees.</w:t>
      </w:r>
    </w:p>
    <w:p>
      <w:r>
        <w:t xml:space="preserve">"I'm confident that by also extending our consultative arrangements to include formal meetings with licensed post office representative bodies, such as LPO Group, APLAC and POAAL, we are well placed to help address the strategic challenges facing the traditional mail business.</w:t>
      </w:r>
    </w:p>
    <w:p>
      <w:r>
        <w:t xml:space="preserve">"This working group has already met with senior Australia Post executives and will continue to meet to discuss ways we can work together to address issues affecting the network."</w:t>
      </w:r>
    </w:p>
    <w:p>
      <w:r>
        <w:t xml:space="preserve">Already Australia Post, in consultation with licensed post office representative bodies, is proceeding with a range of initiatives including:</w:t>
      </w:r>
    </w:p>
    <w:p>
      <w:r>
        <w:t xml:space="preserve">In addition, further work is underway to enter a formal mediation with our franchisees around the transition of our franchised post offices to licensed post offices.</w:t>
      </w:r>
    </w:p>
    <w:p>
      <w:r>
        <w:t xml:space="preserve">Central to its reform plans, Australia Post is seeking Federal Government approval to introduce changes to its letters service that would provide greater choice for customers. This includes a two-speed letters service to consumers - in line with the two-speed service already available to business customers - allowing them to choose between a priority service delivered to the current timetable and a lower price regular service delivered 1-2 days slower.</w:t>
      </w:r>
    </w:p>
    <w:p>
      <w:r>
        <w:t xml:space="preserve">It also wants the ability to set differing prices for the two services that allow it to factor in the relevant costs, volume movements and customer segment specific circumstances. Those costs include running the post office network.</w:t>
      </w:r>
    </w:p>
    <w:p>
      <w:r>
        <w:t xml:space="preserve">An example of this is our commitment to protecting 5.7 million concession card holders from stamp price increases by holding the 60 cent price until 2017 and maintaining its regional and rural services.</w:t>
      </w:r>
    </w:p>
    <w:p>
      <w:r>
        <w:t xml:space="preserve">Extensive consultation is also underway with local communities around these proposed changes. This includes more than 30 local Listening Posts outside local post offices, and ongoing support for the National Conversation Website, which has more than 100,000 registered users providing regular feedback.</w:t>
      </w:r>
    </w:p>
    <w:p>
      <w:r>
        <w:t xml:space="preserve">For more information on how Australia Post is changing, and how to get involved visit&amp;nbsp;www.auspost.com.au/conversation</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2026-06-04T10:27:59.073Z</dcterms:created>
  <dcterms:modified xsi:type="dcterms:W3CDTF">2026-06-04T10:27:59.073Z</dcterms:modified>
</cp:coreProperties>
</file>

<file path=docProps/custom.xml><?xml version="1.0" encoding="utf-8"?>
<Properties xmlns="http://schemas.openxmlformats.org/officeDocument/2006/custom-properties" xmlns:vt="http://schemas.openxmlformats.org/officeDocument/2006/docPropsVTypes"/>
</file>