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September 2014</w:t>
      </w:r>
    </w:p>
    <w:p>
      <w:pPr>
        <w:pStyle w:val="Heading1"/>
      </w:pPr>
      <w:r>
        <w:t xml:space="preserve">Media Statement in response to Senate Inquiry report</w:t>
      </w:r>
    </w:p>
    <w:p>
      <w:r>
        <w:t xml:space="preserve">25 September 2014</w:t>
      </w:r>
    </w:p>
    <w:p>
      <w:r>
        <w:t xml:space="preserve">Australia Post notes the release of the Senate Inquiry report into the performance, importance and role of Australia Post in Australian communities and its operations in relation to Licensed Post Offices (LPOs). We are currently reviewing the findings.</w:t>
      </w:r>
    </w:p>
    <w:p>
      <w:r>
        <w:t xml:space="preserve">We recognise our Licensees form an important part of our network and acknowledge that they face the same challenges of declining letter volumes and customer foot traffic as the rest of the Australia Post network. We have consistently stated our absolute commitment to maintaining our extensive post office network.</w:t>
      </w:r>
    </w:p>
    <w:p>
      <w:r>
        <w:t xml:space="preserve">Australia Post also notes an independent review into the commercial performance of licensees as part of the Inquiry confirms there are no systemic issues with the financial viability of the LPO network. This report, commissioned by Australia Post at the request of the Committee, shows that a series of new payments by Australia Post are directly benefiting licensees. Please find the report attached to the bottom of this release.</w:t>
      </w:r>
    </w:p>
    <w:p>
      <w:r>
        <w:t xml:space="preserve">In consultation with LPO representative groups, we have proactively introduced a series of initiatives that in total contribute an additional $40 million to the viability of LPOs on top of the $339 million paid annually. These include:</w:t>
      </w:r>
    </w:p>
    <w:p>
      <w:r>
        <w:t xml:space="preserve">We look forward to working with the Government as it considers the Committee's recommendations.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2026-06-04T10:28:04.287Z</dcterms:created>
  <dcterms:modified xsi:type="dcterms:W3CDTF">2026-06-04T10:28:04.287Z</dcterms:modified>
</cp:coreProperties>
</file>

<file path=docProps/custom.xml><?xml version="1.0" encoding="utf-8"?>
<Properties xmlns="http://schemas.openxmlformats.org/officeDocument/2006/custom-properties" xmlns:vt="http://schemas.openxmlformats.org/officeDocument/2006/docPropsVTypes"/>
</file>