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March 2014</w:t>
      </w:r>
    </w:p>
    <w:p>
      <w:pPr>
        <w:pStyle w:val="Heading1"/>
      </w:pPr>
      <w:r>
        <w:t xml:space="preserve">Pricing changes - effective 31 March 2014</w:t>
      </w:r>
    </w:p>
    <w:p>
      <w:r>
        <w:t xml:space="preserve">03 March 2014</w:t>
      </w:r>
    </w:p>
    <w:p>
      <w:r>
        <w:t xml:space="preserve">On 31 January, Australia Post lodged a notification with the Australian Competition and Consumer Commission (ACCC) to increase the basic postage rate (BPR) from 60 cents to 70 cents effective 31 March 2014.</w:t>
      </w:r>
    </w:p>
    <w:p>
      <w:r>
        <w:t xml:space="preserve">The ACCC has released its decision to not object to this proposed increase. The proposed increase to the BPR is also subject to the Ministerial notification process, where the Shareholder Minister has 30 days to disapprove the proposed increase.</w:t>
      </w:r>
    </w:p>
    <w:p>
      <w:r>
        <w:t xml:space="preserve">In addition to the proposed increase to the BPR on 31 March, there will also be increases to:</w:t>
      </w:r>
    </w:p>
    <w:p>
      <w:r>
        <w:t xml:space="preserve">We are also introducing some improvements to some of our products and services to provide greater choice and flexibility to our customers. This includes extending our Pack and Track international parcel service to more countries and making an additional delivery timetable available for selected business mail products.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2026-06-04T10:28:14.803Z</dcterms:created>
  <dcterms:modified xsi:type="dcterms:W3CDTF">2026-06-04T10:28:14.803Z</dcterms:modified>
</cp:coreProperties>
</file>

<file path=docProps/custom.xml><?xml version="1.0" encoding="utf-8"?>
<Properties xmlns="http://schemas.openxmlformats.org/officeDocument/2006/custom-properties" xmlns:vt="http://schemas.openxmlformats.org/officeDocument/2006/docPropsVTypes"/>
</file>