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May 2015</w:t>
      </w:r>
    </w:p>
    <w:p>
      <w:pPr>
        <w:pStyle w:val="Heading1"/>
      </w:pPr>
      <w:r>
        <w:t xml:space="preserve">Partners in Performance Report into Licensed Post Office network</w:t>
      </w:r>
    </w:p>
    <w:p>
      <w:r>
        <w:t xml:space="preserve">13 May 2015</w:t>
      </w:r>
    </w:p>
    <w:p>
      <w:r>
        <w:t xml:space="preserve">Partners in Performance (PIP) was commissioned by Australia Post on behalf of the LPO Forum representatives including Australia Post, Australia Post Licensee Advisory Council (APLAC), Licensed Post Office Group (LPOG), Post Office Agents Association Limited (POAAL) and independent facilitator, Helen Kroger, to assess whether the current payments to licensees are fair and reasonable.</w:t>
      </w:r>
    </w:p>
    <w:p>
      <w:r>
        <w:t xml:space="preserve">The report can be downloaded via&amp;nbsp;the panel on the right.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2026-06-04T10:27:53.552Z</dcterms:created>
  <dcterms:modified xsi:type="dcterms:W3CDTF">2026-06-04T10:27:53.552Z</dcterms:modified>
</cp:coreProperties>
</file>

<file path=docProps/custom.xml><?xml version="1.0" encoding="utf-8"?>
<Properties xmlns="http://schemas.openxmlformats.org/officeDocument/2006/custom-properties" xmlns:vt="http://schemas.openxmlformats.org/officeDocument/2006/docPropsVTypes"/>
</file>