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August 2016</w:t>
      </w:r>
    </w:p>
    <w:p>
      <w:pPr>
        <w:pStyle w:val="Heading1"/>
      </w:pPr>
      <w:r>
        <w:t xml:space="preserve">Australia Post records $36 million full-year profit after tax</w:t>
      </w:r>
    </w:p>
    <w:p>
      <w:r>
        <w:t xml:space="preserve">26 August 2016</w:t>
      </w:r>
    </w:p>
    <w:p>
      <w:r>
        <w:t xml:space="preserve">Australia Post today announced a full-year profit after tax of $36 million, representing a turnaround of $258 million compared with FY2015 driven by strong performance in the parcels business and the impact of letters reform.</w:t>
      </w:r>
    </w:p>
    <w:p>
      <w:r>
        <w:t xml:space="preserve">Addressed letter volumes fell by 9.7 per cent, the largest ever 12-month decline, contributing to a loss in the postal business of $138 million, with parcels profit up 8 per cent to $314 million.</w:t>
      </w:r>
    </w:p>
    <w:p>
      <w:r>
        <w:t xml:space="preserve">Ahmed Fahour, Managing Director &amp;amp; Group CEO, said the return to profit follows strong financial discipline applied across the business resulting in one of the biggest transformations in the organisation's history.</w:t>
      </w:r>
    </w:p>
    <w:p>
      <w:r>
        <w:t xml:space="preserve">"Returning to profit is a pleasing result for our employees, post office operators and our other important stakeholders, and shows that Australia Post is on a more sustainable path for future growth," Mr Fahour said.</w:t>
      </w:r>
    </w:p>
    <w:p>
      <w:r>
        <w:t xml:space="preserve">"The parcels business has performed well despite increased competition from overseas players. We have outperformed in difficult market conditions to post an 8 per cent profit increase.</w:t>
      </w:r>
    </w:p>
    <w:p>
      <w:r>
        <w:t xml:space="preserve">"Changes to the letters business introduced earlier this year were an important factor in the group returning to profitability. While the letters business is in structural decline, we have reduced our forecast cumulative losses in letters from around $5bn to $1.5bn over the next 5 years.</w:t>
      </w:r>
    </w:p>
    <w:p>
      <w:r>
        <w:t xml:space="preserve">"Our business is 207 years old, but we are more efficient and motivated than ever before. We have to continue to evolve to remain relevant and sustainable, so we can continue to serve customers and communities everywhere.</w:t>
      </w:r>
    </w:p>
    <w:p>
      <w:r>
        <w:t xml:space="preserve">"We have a strategy that has an eye to the future – ensuring our people have meaningful employment delivering great products and services to all Australians."</w:t>
      </w:r>
    </w:p>
    <w:p>
      <w:r>
        <w:t xml:space="preserve">Ongoing investments in eCommerce have successfully delivered capabilities and capacity for future growth. Key highlights include:</w:t>
      </w:r>
    </w:p>
    <w:p>
      <w:r>
        <w:t xml:space="preserve">The business has continued to support its important stakeholders during the business transformation, with more than 2,800 Licensed Post Office operators sharing in $125 million of additional annual payments committed to over the past 3 years, a 39 per cent increase. This will assist to support and service our customers and communities Australia-wide.</w:t>
      </w:r>
    </w:p>
    <w:p>
      <w:r>
        <w:t xml:space="preserve">The Post People 1st program has also focussed on putting employees first for jobs and supporting them through retraining or redeployment to growth areas of the business. This year 62 per cent of jobs were filled by 8,300 internal applicants.</w:t>
      </w:r>
    </w:p>
    <w:p>
      <w:r>
        <w:t xml:space="preserve">As a result of a sustained focus on safety culture at all levels of the business, this year's safety performance has equalled the previous record low for injuries, down 44 per cent over the past four years.</w:t>
      </w:r>
    </w:p>
    <w:p>
      <w:r>
        <w:t xml:space="preserve">The Australia Post Annual Report will be tabled in Federal Parliament later this year.</w:t>
      </w:r>
    </w:p>
    <w:p>
      <w:r>
        <w:t xml:space="preserve">OUR REGULATED PRESCRIBED CSO TARGET IS 94%</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2026-06-04T10:27:31.861Z</dcterms:created>
  <dcterms:modified xsi:type="dcterms:W3CDTF">2026-06-04T10:27:31.861Z</dcterms:modified>
</cp:coreProperties>
</file>

<file path=docProps/custom.xml><?xml version="1.0" encoding="utf-8"?>
<Properties xmlns="http://schemas.openxmlformats.org/officeDocument/2006/custom-properties" xmlns:vt="http://schemas.openxmlformats.org/officeDocument/2006/docPropsVTypes"/>
</file>