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19 October 2016</w:t>
      </w:r>
    </w:p>
    <w:p>
      <w:pPr>
        <w:pStyle w:val="Heading1"/>
      </w:pPr>
      <w:r>
        <w:t xml:space="preserve">Australia Post Statement</w:t>
      </w:r>
    </w:p>
    <w:p>
      <w:r>
        <w:t xml:space="preserve">19 October 2016</w:t>
      </w:r>
    </w:p>
    <w:p>
      <w:r>
        <w:t xml:space="preserve">A media report today has misrepresented comments made by Australia Post's Managing Director and Group CEO at a Senate Estimates hearing yesterday.</w:t>
      </w:r>
    </w:p>
    <w:p>
      <w:r>
        <w:t xml:space="preserve">Australia Post is passionate about diversity and equality for all. We are proud of our workforce and the fact we have people of all ages working alongside each other</w:t>
      </w:r>
    </w:p>
    <w:p>
      <w:r>
        <w:t xml:space="preserve">The experience of our workforce is an invaluable asset, and one of which we are incredibly proud of. Our people know their communities and know their customers.</w:t>
      </w:r>
    </w:p>
    <w:p>
      <w:r>
        <w:t xml:space="preserve">Any comments to the contrary have been taken out of context and do not reflect the views of Australia Post's CEO or our broader management team.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2026-06-04T10:27:29.250Z</dcterms:created>
  <dcterms:modified xsi:type="dcterms:W3CDTF">2026-06-04T10:27:29.250Z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