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November 2016</w:t>
      </w:r>
    </w:p>
    <w:p>
      <w:pPr>
        <w:pStyle w:val="Heading1"/>
      </w:pPr>
      <w:r>
        <w:t xml:space="preserve">Media statement: S&amp;amp;P</w:t>
      </w:r>
    </w:p>
    <w:p>
      <w:r>
        <w:t xml:space="preserve">15 November 2016</w:t>
      </w:r>
    </w:p>
    <w:p>
      <w:r>
        <w:t xml:space="preserve">Australia Post today welcomed the decision by Standard and Poor's to upgrade its official credit rating from negative to stable.</w:t>
      </w:r>
    </w:p>
    <w:p>
      <w:r>
        <w:t xml:space="preserve">The S&amp;amp;P update revised the outlook to 'AA-/A-1+' and said "Australia Post has made sound progress shifting from a postal to a parcels dominated business.</w:t>
      </w:r>
    </w:p>
    <w:p>
      <w:r>
        <w:t xml:space="preserve">The group has undergone an extended period of change that includes: the expansion of its parcel business, including the successful improving its cost structure including greater automation and consolidation of parcel facilities; extracting synergies between the mail and parcel business; and, expanded service offering of its retail network, particularly the provision of government and financial services."</w:t>
      </w:r>
    </w:p>
    <w:p>
      <w:r>
        <w:t xml:space="preserve">In August Australia Post announced a full-year profit after tax of $36 million, representing a turnaround of $258 million compared with FY2015 driven by strong performance in the parcels business and the impact of letters reform.</w:t>
      </w:r>
    </w:p>
    <w:p>
      <w:r>
        <w:t xml:space="preserve">Addressed letter volumes continued to fall by 9.7 per cent, the largest ever 12-month decline, contributing to a loss in the postal business of $138 million, with parcels profit up 8 per cent to $314 million.</w:t>
      </w:r>
    </w:p>
    <w:p>
      <w:r>
        <w:t xml:space="preserve">Managing Director &amp;amp; Group CEO Ahmed Fahour said the return to profit follows strong financial discipline applied across the business.</w:t>
      </w:r>
    </w:p>
    <w:p>
      <w:r>
        <w:t xml:space="preserve">"Changes to the letters business introduced earlier this year were an important factor in the group returning to profitability.</w:t>
      </w:r>
    </w:p>
    <w:p>
      <w:r>
        <w:t xml:space="preserve">While the letters business is in structural decline, we have reduced our forecast cumulative losses in letters from around $5bn to $1.5bn over the next 5 years."</w:t>
      </w:r>
    </w:p>
    <w:p>
      <w:r>
        <w:t xml:space="preserve">The business has continued to support its important stakeholders during the business transformation, with more than 2,800 Licensed Post Office operators sharing in $125 million of additional annual payments committed to over the past 3 years, a 39 per cent increase.</w:t>
      </w:r>
    </w:p>
    <w:p>
      <w:r>
        <w:t xml:space="preserve">The Post People 1st program has also focussed on putting employees first for jobs and supporting them through retraining or redeployment to growth areas of the business. This year 62 per cent of jobs were filled by 8,300 internal applicants.</w:t>
      </w:r>
    </w:p>
    <w:p>
      <w:r>
        <w:t xml:space="preserve">While Australia Post is pleased with this turnaround it recognises there is still significant work ahead to ensure a sustainable future, including managing for the ongoing decline in the letters business and further developing our capability as the delivery engine of ecommerce.</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2026-06-04T10:27:27.927Z</dcterms:created>
  <dcterms:modified xsi:type="dcterms:W3CDTF">2026-06-04T10:27:27.927Z</dcterms:modified>
</cp:coreProperties>
</file>

<file path=docProps/custom.xml><?xml version="1.0" encoding="utf-8"?>
<Properties xmlns="http://schemas.openxmlformats.org/officeDocument/2006/custom-properties" xmlns:vt="http://schemas.openxmlformats.org/officeDocument/2006/docPropsVTypes"/>
</file>