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October 2016</w:t>
      </w:r>
    </w:p>
    <w:p>
      <w:pPr>
        <w:pStyle w:val="Heading1"/>
      </w:pPr>
      <w:r>
        <w:t xml:space="preserve">Return of Samsung Galaxy Note 7 products</w:t>
      </w:r>
    </w:p>
    <w:p>
      <w:r>
        <w:t xml:space="preserve">21 October 2016</w:t>
      </w:r>
    </w:p>
    <w:p>
      <w:r>
        <w:t xml:space="preserve">In accordance with ACCC safety advice, and in consultation with the major telecommunications providers, Australia Post has been accepting returns of the Samsung Galaxy Note 7 and Note 7 Edge via road transport in clearly marked packages. Australia Post is not carrying the Samsung Galaxy Note 7 by air.&amp;nbsp;We have been working with the manufacturer who has advised the device is safe to transport as long as it is switched off. This advice has been consistently communicated to consumers by all parties involved.We continue to review the situation and consult with our employees and their representatives. In the meantime we have advised product distributors to instruct their customers to return the devices directly to them.</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2026-06-04T10:27:28.894Z</dcterms:created>
  <dcterms:modified xsi:type="dcterms:W3CDTF">2026-06-04T10:27:28.894Z</dcterms:modified>
</cp:coreProperties>
</file>

<file path=docProps/custom.xml><?xml version="1.0" encoding="utf-8"?>
<Properties xmlns="http://schemas.openxmlformats.org/officeDocument/2006/custom-properties" xmlns:vt="http://schemas.openxmlformats.org/officeDocument/2006/docPropsVTypes"/>
</file>