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July 2017</w:t>
      </w:r>
    </w:p>
    <w:p>
      <w:pPr>
        <w:pStyle w:val="Heading1"/>
      </w:pPr>
      <w:r>
        <w:t xml:space="preserve">Australia Post seeks National Heritage listing for Sydney GPO as it completes sale</w:t>
      </w:r>
    </w:p>
    <w:p>
      <w:r>
        <w:t xml:space="preserve">26 July 2017</w:t>
      </w:r>
    </w:p>
    <w:p>
      <w:r>
        <w:t xml:space="preserve">Australia Post will seek National Heritage listing for the Sydney GPO in recognition of its historical importance and to reinforce existing heritage protections.</w:t>
      </w:r>
    </w:p>
    <w:p>
      <w:r>
        <w:t xml:space="preserve">The move comes as Australia Post confirmed it had finalised the sale of the Sydney GPO freehold to a Far East Organization and Sino Land Company joint venture. Far East Organization/Sino Land already holds a 99-year lease on the site and owns the adjoining Westin Hotel.</w:t>
      </w:r>
    </w:p>
    <w:p>
      <w:r>
        <w:t xml:space="preserve">The Minister for the Environment and Energy this week notified Australia Post that he accepted the existing Heritage Management Plan attached to the sale, paving the way for the completion of the deal.</w:t>
      </w:r>
    </w:p>
    <w:p>
      <w:r>
        <w:t xml:space="preserve">Australia Post's General Manager of Property Adam Treffry said the nomination for National Heritage listing will be made jointly and in full cooperation with Far East/Sino Land. Far East/Sino Land have established track records for conserving heritage buildings, including The Fullerton Building in Singapore which was once home to Singapore's GPO.</w:t>
      </w:r>
    </w:p>
    <w:p>
      <w:r>
        <w:t xml:space="preserve">"While the existing heritage plan already ensured the protection of the Sydney GPO, National Heritage listing would further reinforce the historical importance of the site to the benefit of future generations," he said.</w:t>
      </w:r>
    </w:p>
    <w:p>
      <w:r>
        <w:t xml:space="preserve">"National Heritage recognises exceptional natural and cultural places that contribute to Australia's identity. If successful, the building would join other iconic sites including the Australian War Memorial, Sydney Opera House and Bondi beach covered by the highest level of heritage protections in the country.</w:t>
      </w:r>
    </w:p>
    <w:p>
      <w:r>
        <w:t xml:space="preserve">"From the very outset of this sale process protection of the heritage value of the Sydney GPO has been foremost in our approach.</w:t>
      </w:r>
    </w:p>
    <w:p>
      <w:r>
        <w:t xml:space="preserve">National Heritage listing would reflect the shared commitment of Australia Post and Far East/Sino Land to maintain the historic significance of the building."</w:t>
      </w:r>
    </w:p>
    <w:p>
      <w:r>
        <w:t xml:space="preserve">Mrs Ai Lian Fang, Chairperson of Far East's Australia properties executive committee said Sydney GPO would be a marvellous addition to the National Heritage List.</w:t>
      </w:r>
    </w:p>
    <w:p>
      <w:r>
        <w:t xml:space="preserve">"We are deeply respectful of the Sydney GPO's historical significance to Australians. We are fully committed to operating the property in a way that will honour its rich heritage," she said.</w:t>
      </w:r>
    </w:p>
    <w:p>
      <w:r>
        <w:t xml:space="preserve">The planned sale of the Sydney GPO was announced in May, after an extensive expression of interest process in relation to Australia Post's GPO property portfolio, including the Sydney GPO.</w:t>
      </w:r>
    </w:p>
    <w:p>
      <w:r>
        <w:t xml:space="preserve">That process involved 40 organisations identified to have extensive property experience, including Australian and foreign-owned entities.</w:t>
      </w:r>
    </w:p>
    <w:p>
      <w:r>
        <w:t xml:space="preserve">Negotiations began with Far East/Sino Land after its response identified the best commercial outcome, while meeting Australia Post's stringent heritage requirements.</w:t>
      </w:r>
    </w:p>
    <w:p>
      <w:r>
        <w:t xml:space="preserve">An updated Heritage Management plan is attached to the sale to ensure the ongoing protection of the site. Australia Post has complied with all other regulatory requirements concerning heritage protection.</w:t>
      </w:r>
    </w:p>
    <w:p>
      <w:r>
        <w:t xml:space="preserve">The Sydney GPO sale will free up valuable capital for Australia Post to invest in its people and its services to the community, without any impact on the continued operation of and heritage protections covering the site.</w:t>
      </w:r>
    </w:p>
    <w:p>
      <w:r>
        <w:t xml:space="preserve">Australia Post has not operated the site since the late 1990s when it handed over management under the terms of the 99-year leasehold. The post office based at the GPO will continue to operate under a sub-lease.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2026-06-04T10:27:16.980Z</dcterms:created>
  <dcterms:modified xsi:type="dcterms:W3CDTF">2026-06-04T10:27:16.980Z</dcterms:modified>
</cp:coreProperties>
</file>

<file path=docProps/custom.xml><?xml version="1.0" encoding="utf-8"?>
<Properties xmlns="http://schemas.openxmlformats.org/officeDocument/2006/custom-properties" xmlns:vt="http://schemas.openxmlformats.org/officeDocument/2006/docPropsVTypes"/>
</file>