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08 February 2017</w:t>
      </w:r>
    </w:p>
    <w:p>
      <w:pPr>
        <w:pStyle w:val="Heading1"/>
      </w:pPr>
      <w:r>
        <w:t xml:space="preserve">Media Response: The remuneration of the executive team</w:t>
      </w:r>
    </w:p>
    <w:p>
      <w:r>
        <w:t xml:space="preserve">08 February 2017</w:t>
      </w:r>
    </w:p>
    <w:p>
      <w:r>
        <w:t xml:space="preserve">The remuneration of the executive team, including the Managing Director &amp;amp; Group CEO, is set by the Australia Post Board.</w:t>
      </w:r>
    </w:p>
    <w:p>
      <w:r>
        <w:t xml:space="preserve">Mr Fahour's total remuneration package takes into account the size and complexity of the organisation, which has an annual turnover of more than $6 billion. It also reflects the large-scale transformation underway and that more than 73 per cent of its revenue comes from the non-regulated side of the business where it is competing with major global players such as DHL, FedEx and Toll.</w:t>
      </w:r>
    </w:p>
    <w:p>
      <w:r>
        <w:t xml:space="preserve">Mr Fahour's remuneration in FY16 included a performance-based short-term bonus in line with Australia Post returning to profit. The previous year he did not receive a bonus.</w:t>
      </w:r>
    </w:p>
    <w:p>
      <w:r>
        <w:t xml:space="preserve">Total executive remuneration has not increased since 2014 when the executive last received their full eligible performance bonus.</w:t>
      </w:r>
    </w:p>
    <w:p>
      <w:r>
        <w:t xml:space="preserve">Since 2007 Australia Post has paid more than $6.3b in dividends and taxes to the Federal Government. Australia Post does not receive any taxpayer funding.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2026-06-04T10:27:26.272Z</dcterms:created>
  <dcterms:modified xsi:type="dcterms:W3CDTF">2026-06-04T10:27:26.272Z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