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August 2017</w:t>
      </w:r>
    </w:p>
    <w:p>
      <w:pPr>
        <w:pStyle w:val="Heading1"/>
      </w:pPr>
      <w:r>
        <w:t xml:space="preserve">Media statement: Australia Marriage Law Postal Survey</w:t>
      </w:r>
    </w:p>
    <w:p>
      <w:r>
        <w:t xml:space="preserve">22 August 2017</w:t>
      </w:r>
    </w:p>
    <w:p>
      <w:r>
        <w:t xml:space="preserve">In keeping with Australia Post's obligation to provide postal services, we will be delivering the Australian Marriage Law Postal Survey to registered voters throughout Australia and overseas.Australia Post will also deliver unaddressed campaign material in line with our terms &amp;amp; conditions. These allow Australia Post to refuse any article which:</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2026-06-04T10:27:14.861Z</dcterms:created>
  <dcterms:modified xsi:type="dcterms:W3CDTF">2026-06-04T10:27:14.861Z</dcterms:modified>
</cp:coreProperties>
</file>

<file path=docProps/custom.xml><?xml version="1.0" encoding="utf-8"?>
<Properties xmlns="http://schemas.openxmlformats.org/officeDocument/2006/custom-properties" xmlns:vt="http://schemas.openxmlformats.org/officeDocument/2006/docPropsVTypes"/>
</file>