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March 2018</w:t>
      </w:r>
    </w:p>
    <w:p>
      <w:pPr>
        <w:pStyle w:val="Heading1"/>
      </w:pPr>
      <w:r>
        <w:t xml:space="preserve">eCommerce market update</w:t>
      </w:r>
    </w:p>
    <w:p>
      <w:r>
        <w:t xml:space="preserve">09 March 2018</w:t>
      </w:r>
    </w:p>
    <w:p>
      <w:r>
        <w:t xml:space="preserve">Today we have released our latest update for Australia's eCommerce market, which showed online shopping reached record levels in 2017.Australia's eCommerce market grew 19.2 per cent last year &amp;ndash; almost double the rate recorded in 2016. The unprecedented growth came as more Australians bought bargains in online sales, including Black Friday, Cyber Monday and Australia's own Click Frenzy.To view the full report please visit:&amp;nbsp;https://acquire.startrack.com.au/ecommerce/2018/recap/.</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2026-06-04T10:27:05.022Z</dcterms:created>
  <dcterms:modified xsi:type="dcterms:W3CDTF">2026-06-04T10:27:05.022Z</dcterms:modified>
</cp:coreProperties>
</file>

<file path=docProps/custom.xml><?xml version="1.0" encoding="utf-8"?>
<Properties xmlns="http://schemas.openxmlformats.org/officeDocument/2006/custom-properties" xmlns:vt="http://schemas.openxmlformats.org/officeDocument/2006/docPropsVTypes"/>
</file>